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b/>
          <w:sz w:val="28"/>
        </w:rPr>
      </w:pPr>
      <w:r>
        <w:rPr>
          <w:sz w:val="28"/>
        </w:rPr>
        <w:drawing>
          <wp:anchor distT="0" distB="0" distL="114300" distR="114300" simplePos="0" relativeHeight="251659264" behindDoc="1" locked="0" layoutInCell="1" allowOverlap="1">
            <wp:simplePos x="0" y="0"/>
            <wp:positionH relativeFrom="column">
              <wp:posOffset>-5080</wp:posOffset>
            </wp:positionH>
            <wp:positionV relativeFrom="paragraph">
              <wp:posOffset>103505</wp:posOffset>
            </wp:positionV>
            <wp:extent cx="1162050" cy="861695"/>
            <wp:effectExtent l="0" t="0" r="0" b="0"/>
            <wp:wrapTight wrapText="bothSides">
              <wp:wrapPolygon>
                <wp:start x="6374" y="0"/>
                <wp:lineTo x="4603" y="2388"/>
                <wp:lineTo x="3187" y="5253"/>
                <wp:lineTo x="3187" y="8118"/>
                <wp:lineTo x="0" y="14803"/>
                <wp:lineTo x="0" y="18623"/>
                <wp:lineTo x="2833" y="21011"/>
                <wp:lineTo x="6374" y="21011"/>
                <wp:lineTo x="16289" y="21011"/>
                <wp:lineTo x="19121" y="21011"/>
                <wp:lineTo x="21246" y="18623"/>
                <wp:lineTo x="21246" y="15281"/>
                <wp:lineTo x="20538" y="12893"/>
                <wp:lineTo x="18413" y="8118"/>
                <wp:lineTo x="18767" y="6208"/>
                <wp:lineTo x="17705" y="3343"/>
                <wp:lineTo x="15580" y="0"/>
                <wp:lineTo x="637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62050" cy="861695"/>
                    </a:xfrm>
                    <a:prstGeom prst="rect">
                      <a:avLst/>
                    </a:prstGeom>
                    <a:noFill/>
                    <a:ln>
                      <a:noFill/>
                    </a:ln>
                  </pic:spPr>
                </pic:pic>
              </a:graphicData>
            </a:graphic>
          </wp:anchor>
        </w:drawing>
      </w:r>
    </w:p>
    <w:p>
      <w:pPr>
        <w:spacing w:line="312" w:lineRule="auto"/>
        <w:ind w:left="2160" w:firstLine="720"/>
        <w:rPr>
          <w:b/>
          <w:sz w:val="28"/>
        </w:rPr>
      </w:pPr>
      <w:r>
        <w:rPr>
          <w:b/>
          <w:sz w:val="28"/>
        </w:rPr>
        <w:t>CỘNG HÒA XÃ HỘI CHỦ NGHĨA VIỆT NAM</w:t>
      </w:r>
    </w:p>
    <w:p>
      <w:pPr>
        <w:jc w:val="center"/>
        <w:rPr>
          <w:b/>
          <w:color w:val="215868"/>
          <w:sz w:val="28"/>
        </w:rPr>
      </w:pPr>
      <w:r>
        <w:rPr>
          <w:b/>
          <w:sz w:val="28"/>
        </w:rPr>
        <w:t>Độc Lập – Tự Do – Hạnh Phúc</w:t>
      </w:r>
    </w:p>
    <w:p>
      <w:pPr>
        <w:rPr>
          <w:b/>
          <w:color w:val="215868"/>
          <w:sz w:val="28"/>
        </w:rPr>
      </w:pPr>
      <w:r>
        <w:rPr>
          <w:b/>
          <w:color w:val="215868"/>
          <w:sz w:val="28"/>
        </w:rPr>
        <w:tab/>
      </w:r>
      <w:r>
        <w:rPr>
          <w:b/>
          <w:color w:val="215868"/>
          <w:sz w:val="28"/>
        </w:rPr>
        <w:tab/>
      </w:r>
      <w:r>
        <w:rPr>
          <w:b/>
          <w:color w:val="215868"/>
          <w:sz w:val="28"/>
        </w:rPr>
        <w:tab/>
      </w:r>
      <w:r>
        <w:rPr>
          <w:b/>
          <w:color w:val="215868"/>
          <w:sz w:val="28"/>
        </w:rPr>
        <w:tab/>
      </w:r>
      <w:r>
        <w:rPr>
          <w:b/>
          <w:color w:val="215868"/>
          <w:sz w:val="28"/>
        </w:rPr>
        <w:t>-----------------------------</w:t>
      </w:r>
    </w:p>
    <w:p>
      <w:pPr>
        <w:spacing w:line="312" w:lineRule="auto"/>
        <w:rPr>
          <w:b/>
          <w:sz w:val="28"/>
        </w:rPr>
      </w:pPr>
    </w:p>
    <w:p>
      <w:pPr>
        <w:spacing w:line="312" w:lineRule="auto"/>
        <w:rPr>
          <w:b/>
          <w:sz w:val="28"/>
        </w:rPr>
      </w:pPr>
      <w:r>
        <w:rPr>
          <w:b/>
          <w:sz w:val="28"/>
        </w:rPr>
        <w:t xml:space="preserve">                            HỢP ĐỒNG VẬN CHUYỂN HÀNG HÓA</w:t>
      </w:r>
    </w:p>
    <w:p>
      <w:pPr>
        <w:spacing w:line="312" w:lineRule="auto"/>
        <w:jc w:val="center"/>
        <w:rPr>
          <w:b/>
          <w:sz w:val="28"/>
        </w:rPr>
      </w:pPr>
      <w:r>
        <w:rPr>
          <w:b/>
          <w:sz w:val="28"/>
        </w:rPr>
        <w:t xml:space="preserve"> Số:</w:t>
      </w:r>
      <w:r>
        <w:rPr>
          <w:b/>
          <w:sz w:val="28"/>
          <w:lang w:val="vi-VN"/>
        </w:rPr>
        <w:t xml:space="preserve"> </w:t>
      </w:r>
      <w:r>
        <w:rPr>
          <w:b/>
          <w:sz w:val="28"/>
        </w:rPr>
        <w:t>2003/TTA- KTAC/HĐNT</w:t>
      </w:r>
    </w:p>
    <w:p>
      <w:pPr>
        <w:spacing w:line="312" w:lineRule="auto"/>
        <w:jc w:val="center"/>
        <w:rPr>
          <w:b/>
          <w:sz w:val="28"/>
        </w:rPr>
      </w:pPr>
    </w:p>
    <w:p>
      <w:pPr>
        <w:numPr>
          <w:ilvl w:val="0"/>
          <w:numId w:val="1"/>
        </w:numPr>
        <w:spacing w:line="312" w:lineRule="auto"/>
        <w:rPr>
          <w:i/>
        </w:rPr>
      </w:pPr>
      <w:r>
        <w:rPr>
          <w:i/>
        </w:rPr>
        <w:t xml:space="preserve">Căn cứ Bộ Luật dân sự </w:t>
      </w:r>
      <w:r>
        <w:rPr>
          <w:i/>
          <w:lang w:val="en"/>
        </w:rPr>
        <w:t>số 91/2015/QH13</w:t>
      </w:r>
      <w:r>
        <w:rPr>
          <w:i/>
        </w:rPr>
        <w:t xml:space="preserve"> ngày 24/11/2015 của Quốc hội nước CHXHCN Việt Nam</w:t>
      </w:r>
    </w:p>
    <w:p>
      <w:pPr>
        <w:numPr>
          <w:ilvl w:val="0"/>
          <w:numId w:val="1"/>
        </w:numPr>
        <w:spacing w:line="312" w:lineRule="auto"/>
        <w:jc w:val="both"/>
        <w:rPr>
          <w:i/>
        </w:rPr>
      </w:pPr>
      <w:r>
        <w:rPr>
          <w:i/>
        </w:rPr>
        <w:t>Căn cứ Luật Thương mại số 36/2005/QH11 ngày 14/01/2006 của Quốc hội nước CHXHCN Việt Nam</w:t>
      </w:r>
    </w:p>
    <w:p>
      <w:pPr>
        <w:numPr>
          <w:ilvl w:val="0"/>
          <w:numId w:val="1"/>
        </w:numPr>
        <w:spacing w:line="312" w:lineRule="auto"/>
        <w:jc w:val="both"/>
        <w:rPr>
          <w:i/>
        </w:rPr>
      </w:pPr>
      <w:r>
        <w:rPr>
          <w:i/>
        </w:rPr>
        <w:t>Căn cứ khả năng và nhu cầu của hai bên.</w:t>
      </w:r>
    </w:p>
    <w:p>
      <w:pPr>
        <w:spacing w:line="312" w:lineRule="auto"/>
        <w:jc w:val="both"/>
      </w:pPr>
      <w:r>
        <w:t xml:space="preserve">Hôm nay, ngày </w:t>
      </w:r>
      <w:r>
        <w:rPr>
          <w:rFonts w:hint="default" w:ascii="Times New Roman"/>
          <w:lang w:val="vi-VN"/>
        </w:rPr>
        <w:t>...</w:t>
      </w:r>
      <w:r>
        <w:t xml:space="preserve"> tháng </w:t>
      </w:r>
      <w:r>
        <w:rPr>
          <w:rFonts w:hint="default" w:ascii="Times New Roman"/>
          <w:lang w:val="vi-VN"/>
        </w:rPr>
        <w:t>...</w:t>
      </w:r>
      <w:r>
        <w:t xml:space="preserve">năm </w:t>
      </w:r>
      <w:r>
        <w:rPr>
          <w:lang w:val="vi-VN"/>
        </w:rPr>
        <w:t>202</w:t>
      </w:r>
      <w:r>
        <w:t>3</w:t>
      </w:r>
    </w:p>
    <w:p>
      <w:pPr>
        <w:spacing w:line="312" w:lineRule="auto"/>
        <w:jc w:val="both"/>
      </w:pPr>
      <w:r>
        <w:t>Chúng tôi gồm:</w:t>
      </w:r>
    </w:p>
    <w:p>
      <w:pPr>
        <w:spacing w:after="120"/>
        <w:jc w:val="both"/>
        <w:rPr>
          <w:b/>
        </w:rPr>
      </w:pPr>
      <w:r>
        <w:rPr>
          <w:b/>
        </w:rPr>
        <w:t>BÊN A</w:t>
      </w:r>
      <w:r>
        <w:rPr>
          <w:b/>
          <w:lang w:val="vi-VN"/>
        </w:rPr>
        <w:t xml:space="preserve"> </w:t>
      </w:r>
      <w:r>
        <w:rPr>
          <w:b/>
        </w:rPr>
        <w:t>:</w:t>
      </w:r>
      <w:r>
        <w:rPr>
          <w:b/>
          <w:lang w:val="vi-VN"/>
        </w:rPr>
        <w:t xml:space="preserve"> </w:t>
      </w:r>
    </w:p>
    <w:p>
      <w:pPr>
        <w:spacing w:line="360" w:lineRule="auto"/>
        <w:jc w:val="both"/>
      </w:pPr>
      <w:r>
        <w:t>Địa chỉ:</w:t>
      </w:r>
      <w:r>
        <w:rPr>
          <w:lang w:val="vi-VN"/>
        </w:rPr>
        <w:t xml:space="preserve"> </w:t>
      </w:r>
      <w:r>
        <w:t xml:space="preserve"> </w:t>
      </w:r>
    </w:p>
    <w:p>
      <w:pPr>
        <w:spacing w:line="360" w:lineRule="auto"/>
        <w:jc w:val="both"/>
        <w:rPr>
          <w:color w:val="000000"/>
          <w:shd w:val="clear" w:color="auto" w:fill="FFFFFF"/>
        </w:rPr>
      </w:pPr>
      <w:r>
        <w:t>Điện thoại:</w:t>
      </w:r>
      <w:r>
        <w:rPr>
          <w:lang w:val="vi-VN"/>
        </w:rPr>
        <w:t xml:space="preserve"> </w:t>
      </w:r>
      <w:r>
        <w:t xml:space="preserve">  </w:t>
      </w:r>
      <w:r>
        <w:tab/>
      </w:r>
      <w:r>
        <w:tab/>
      </w:r>
      <w:r>
        <w:tab/>
      </w:r>
      <w:r>
        <w:tab/>
      </w:r>
      <w:r>
        <w:rPr>
          <w:lang w:val="vi-VN"/>
        </w:rPr>
        <w:tab/>
      </w:r>
      <w:r>
        <w:rPr>
          <w:lang w:val="vi-VN"/>
        </w:rPr>
        <w:tab/>
      </w:r>
      <w:r>
        <w:rPr>
          <w:lang w:val="vi-VN"/>
        </w:rPr>
        <w:t>F</w:t>
      </w:r>
      <w:r>
        <w:t xml:space="preserve">ax: </w:t>
      </w:r>
    </w:p>
    <w:p>
      <w:pPr>
        <w:spacing w:line="360" w:lineRule="auto"/>
        <w:jc w:val="both"/>
        <w:rPr>
          <w:b/>
          <w:lang w:val="vi-VN"/>
        </w:rPr>
      </w:pPr>
      <w:r>
        <w:t xml:space="preserve">Đại diện </w:t>
      </w:r>
      <w:r>
        <w:rPr>
          <w:lang w:val="vi-VN"/>
        </w:rPr>
        <w:t xml:space="preserve">    : </w:t>
      </w:r>
      <w:r>
        <w:rPr>
          <w:rFonts w:hint="default" w:ascii="Times New Roman"/>
          <w:lang w:val="vi-VN"/>
        </w:rPr>
        <w:t xml:space="preserve">                                          </w:t>
      </w:r>
      <w:r>
        <w:rPr>
          <w:b/>
          <w:bCs/>
        </w:rPr>
        <w:tab/>
      </w:r>
      <w:r>
        <w:rPr>
          <w:b/>
          <w:bCs/>
        </w:rPr>
        <w:tab/>
      </w:r>
      <w:r>
        <w:t xml:space="preserve">Chức vụ: </w:t>
      </w:r>
    </w:p>
    <w:p>
      <w:r>
        <w:t xml:space="preserve">Mã số thuế: </w:t>
      </w:r>
    </w:p>
    <w:p/>
    <w:p>
      <w:pPr>
        <w:shd w:val="clear" w:color="auto" w:fill="FFFFFF"/>
        <w:spacing w:after="150"/>
        <w:rPr>
          <w:bCs/>
          <w:color w:val="000000"/>
        </w:rPr>
      </w:pPr>
      <w:r>
        <w:t xml:space="preserve">Tài Khoản Ngân Hàng:  </w:t>
      </w:r>
    </w:p>
    <w:p>
      <w:pPr>
        <w:spacing w:line="312" w:lineRule="auto"/>
        <w:jc w:val="both"/>
        <w:rPr>
          <w:b/>
          <w:lang w:val="vi-VN"/>
        </w:rPr>
      </w:pPr>
      <w:r>
        <w:rPr>
          <w:b/>
          <w:lang w:val="vi-VN"/>
        </w:rPr>
        <w:t xml:space="preserve">BÊN B: </w:t>
      </w:r>
      <w:r>
        <w:rPr>
          <w:lang w:val="vi-VN"/>
        </w:rPr>
        <w:t>(</w:t>
      </w:r>
      <w:r>
        <w:t>B</w:t>
      </w:r>
      <w:r>
        <w:rPr>
          <w:lang w:val="vi-VN"/>
        </w:rPr>
        <w:t>ên vận chuyển)</w:t>
      </w:r>
      <w:r>
        <w:rPr>
          <w:b/>
          <w:lang w:val="vi-VN"/>
        </w:rPr>
        <w:t xml:space="preserve">   CÔNG TY TNHH DỊCH VỤ VẬN TẢI TRỌNG TẤN</w:t>
      </w:r>
    </w:p>
    <w:p>
      <w:pPr>
        <w:spacing w:line="312" w:lineRule="auto"/>
        <w:jc w:val="both"/>
        <w:rPr>
          <w:lang w:val="vi-VN"/>
        </w:rPr>
      </w:pPr>
      <w:r>
        <w:rPr>
          <w:lang w:val="vi-VN"/>
        </w:rPr>
        <w:t>Địa chỉ:</w:t>
      </w:r>
      <w:r>
        <w:rPr>
          <w:lang w:val="vi-VN"/>
        </w:rPr>
        <w:tab/>
      </w:r>
      <w:r>
        <w:rPr>
          <w:lang w:val="vi-VN"/>
        </w:rPr>
        <w:t>M7, KDC Thới An, Đường Lê Thị Riêng, Phường Thới An, Quận 12, TP. HCM</w:t>
      </w:r>
    </w:p>
    <w:p>
      <w:pPr>
        <w:spacing w:line="312" w:lineRule="auto"/>
        <w:jc w:val="both"/>
        <w:rPr>
          <w:lang w:val="vi-VN"/>
        </w:rPr>
      </w:pPr>
      <w:r>
        <w:rPr>
          <w:lang w:val="vi-VN"/>
        </w:rPr>
        <w:t>Điện thoại:</w:t>
      </w:r>
      <w:r>
        <w:rPr>
          <w:lang w:val="vi-VN"/>
        </w:rPr>
        <w:tab/>
      </w:r>
      <w:r>
        <w:rPr>
          <w:lang w:val="vi-VN"/>
        </w:rPr>
        <w:t>(0</w:t>
      </w:r>
      <w:r>
        <w:t>2</w:t>
      </w:r>
      <w:r>
        <w:rPr>
          <w:lang w:val="vi-VN"/>
        </w:rPr>
        <w:t>8) 6259 0486</w:t>
      </w:r>
      <w:r>
        <w:rPr>
          <w:lang w:val="vi-VN"/>
        </w:rPr>
        <w:tab/>
      </w:r>
      <w:r>
        <w:rPr>
          <w:lang w:val="vi-VN"/>
        </w:rPr>
        <w:tab/>
      </w:r>
      <w:r>
        <w:t xml:space="preserve">                       </w:t>
      </w:r>
      <w:r>
        <w:rPr>
          <w:lang w:val="vi-VN"/>
        </w:rPr>
        <w:t xml:space="preserve">  </w:t>
      </w:r>
      <w:r>
        <w:t xml:space="preserve">  </w:t>
      </w:r>
      <w:r>
        <w:rPr>
          <w:lang w:val="vi-VN"/>
        </w:rPr>
        <w:t>Fax: (0</w:t>
      </w:r>
      <w:r>
        <w:t>2</w:t>
      </w:r>
      <w:r>
        <w:rPr>
          <w:lang w:val="vi-VN"/>
        </w:rPr>
        <w:t>8) 6259 0486</w:t>
      </w:r>
    </w:p>
    <w:p>
      <w:pPr>
        <w:spacing w:line="312" w:lineRule="auto"/>
        <w:jc w:val="both"/>
        <w:rPr>
          <w:b/>
          <w:lang w:val="vi-VN"/>
        </w:rPr>
      </w:pPr>
      <w:r>
        <w:rPr>
          <w:lang w:val="vi-VN"/>
        </w:rPr>
        <w:t>Đại diện:</w:t>
      </w:r>
      <w:r>
        <w:rPr>
          <w:lang w:val="vi-VN"/>
        </w:rPr>
        <w:tab/>
      </w:r>
      <w:r>
        <w:t>(</w:t>
      </w:r>
      <w:r>
        <w:rPr>
          <w:b/>
        </w:rPr>
        <w:t>Ông) TRẦN THANH ĐOÀN</w:t>
      </w:r>
      <w:r>
        <w:rPr>
          <w:lang w:val="vi-VN"/>
        </w:rPr>
        <w:tab/>
      </w:r>
      <w:r>
        <w:rPr>
          <w:lang w:val="vi-VN"/>
        </w:rPr>
        <w:tab/>
      </w:r>
      <w:r>
        <w:rPr>
          <w:lang w:val="vi-VN"/>
        </w:rPr>
        <w:t xml:space="preserve">  Chức vụ: </w:t>
      </w:r>
      <w:r>
        <w:rPr>
          <w:b/>
          <w:lang w:val="vi-VN"/>
        </w:rPr>
        <w:t>Giám đốc</w:t>
      </w:r>
    </w:p>
    <w:p>
      <w:pPr>
        <w:spacing w:line="312" w:lineRule="auto"/>
        <w:jc w:val="both"/>
      </w:pPr>
      <w:r>
        <w:rPr>
          <w:lang w:val="vi-VN"/>
        </w:rPr>
        <w:t xml:space="preserve">Mã Số Thuế:   </w:t>
      </w:r>
      <w:bookmarkStart w:id="1" w:name="_GoBack"/>
      <w:bookmarkEnd w:id="1"/>
    </w:p>
    <w:p>
      <w:pPr>
        <w:spacing w:line="312" w:lineRule="auto"/>
        <w:jc w:val="both"/>
      </w:pPr>
      <w:r>
        <w:t>Thông tin tài khoản:</w:t>
      </w:r>
    </w:p>
    <w:p>
      <w:pPr>
        <w:numPr>
          <w:ilvl w:val="0"/>
          <w:numId w:val="2"/>
        </w:numPr>
        <w:spacing w:line="312" w:lineRule="auto"/>
      </w:pPr>
      <w:r>
        <w:t xml:space="preserve"> </w:t>
      </w:r>
      <w:r>
        <w:rPr>
          <w:b/>
        </w:rPr>
        <w:t>060.153.449.050</w:t>
      </w:r>
      <w:r>
        <w:t xml:space="preserve"> CÔNG TY TNHH DỊCH VỤ VẬN TẢI TRỌNG TẤN - Ngân Hàng Sacombank- Chi nhánh Quận 12- PGD Thới An</w:t>
      </w:r>
    </w:p>
    <w:p>
      <w:pPr>
        <w:numPr>
          <w:ilvl w:val="0"/>
          <w:numId w:val="2"/>
        </w:numPr>
        <w:spacing w:line="312" w:lineRule="auto"/>
      </w:pPr>
      <w:r>
        <w:t xml:space="preserve"> </w:t>
      </w:r>
      <w:r>
        <w:rPr>
          <w:b/>
        </w:rPr>
        <w:t xml:space="preserve">1912.794.969.80.18 </w:t>
      </w:r>
      <w:r>
        <w:t>CÔNG TY TNHH DỊCH VỤ VẬN TẢI TRỌNG TẤN – Ngân Hàng TechcomBank, CN Quang Trung, HCM</w:t>
      </w:r>
    </w:p>
    <w:p>
      <w:pPr>
        <w:numPr>
          <w:ilvl w:val="0"/>
          <w:numId w:val="2"/>
        </w:numPr>
        <w:spacing w:line="312" w:lineRule="auto"/>
      </w:pPr>
      <w:r>
        <w:t xml:space="preserve"> </w:t>
      </w:r>
      <w:r>
        <w:rPr>
          <w:b/>
        </w:rPr>
        <w:t>01788521701</w:t>
      </w:r>
      <w:r>
        <w:t xml:space="preserve"> CÔNG TY TNHH DỊCH VỤ VẬN TẢI TRỌNG TẤN- Ngân Hàng Thương Mại Cổ Phần Tiên Phong- CN Hóc Môn</w:t>
      </w:r>
    </w:p>
    <w:p>
      <w:pPr>
        <w:spacing w:line="312" w:lineRule="auto"/>
        <w:ind w:left="360"/>
        <w:rPr>
          <w:i/>
        </w:rPr>
      </w:pPr>
      <w:r>
        <w:rPr>
          <w:i/>
        </w:rPr>
        <w:t>Do vậy, hai bên thỏa thuận ký kết hợp đồng vận chuyển hàng hóa với các nội dung như sau:</w:t>
      </w:r>
    </w:p>
    <w:p>
      <w:pPr>
        <w:spacing w:line="312" w:lineRule="auto"/>
        <w:ind w:left="360"/>
      </w:pPr>
    </w:p>
    <w:p>
      <w:pPr>
        <w:spacing w:line="312" w:lineRule="auto"/>
        <w:jc w:val="both"/>
        <w:rPr>
          <w:b/>
        </w:rPr>
      </w:pPr>
      <w:r>
        <w:rPr>
          <w:b/>
        </w:rPr>
        <w:t>ĐIỀU 1: HÀNG HÓA VẬN CHUYỂN</w:t>
      </w:r>
    </w:p>
    <w:p>
      <w:pPr>
        <w:numPr>
          <w:ilvl w:val="0"/>
          <w:numId w:val="3"/>
        </w:numPr>
        <w:tabs>
          <w:tab w:val="left" w:pos="540"/>
          <w:tab w:val="clear" w:pos="1440"/>
        </w:tabs>
        <w:spacing w:line="312" w:lineRule="auto"/>
        <w:ind w:left="540" w:hanging="540"/>
        <w:jc w:val="both"/>
      </w:pPr>
      <w:r>
        <w:t xml:space="preserve">Hàng hóa vận chuyển: </w:t>
      </w:r>
    </w:p>
    <w:p>
      <w:pPr>
        <w:numPr>
          <w:ilvl w:val="0"/>
          <w:numId w:val="1"/>
        </w:numPr>
        <w:tabs>
          <w:tab w:val="left" w:pos="644"/>
          <w:tab w:val="clear" w:pos="720"/>
        </w:tabs>
        <w:spacing w:line="312" w:lineRule="auto"/>
        <w:ind w:left="644"/>
        <w:jc w:val="both"/>
        <w:rPr>
          <w:lang w:val="vi-VN"/>
        </w:rPr>
      </w:pPr>
      <w:r>
        <w:t>Hàng hóa vận chuyển: Hàng máy móc</w:t>
      </w:r>
    </w:p>
    <w:p>
      <w:pPr>
        <w:numPr>
          <w:ilvl w:val="0"/>
          <w:numId w:val="1"/>
        </w:numPr>
        <w:tabs>
          <w:tab w:val="left" w:pos="644"/>
          <w:tab w:val="left" w:pos="900"/>
          <w:tab w:val="clear" w:pos="720"/>
        </w:tabs>
        <w:spacing w:line="312" w:lineRule="auto"/>
        <w:ind w:left="644"/>
        <w:jc w:val="both"/>
        <w:rPr>
          <w:lang w:val="vi-VN"/>
        </w:rPr>
      </w:pPr>
      <w:r>
        <w:rPr>
          <w:lang w:val="vi-VN"/>
        </w:rPr>
        <w:t xml:space="preserve">Hàng hóa không thuộc diện cấm vận chuyển theo quy định của pháp luật. </w:t>
      </w:r>
    </w:p>
    <w:p>
      <w:pPr>
        <w:numPr>
          <w:ilvl w:val="0"/>
          <w:numId w:val="1"/>
        </w:numPr>
        <w:tabs>
          <w:tab w:val="left" w:pos="644"/>
          <w:tab w:val="left" w:pos="900"/>
          <w:tab w:val="clear" w:pos="720"/>
        </w:tabs>
        <w:spacing w:line="312" w:lineRule="auto"/>
        <w:ind w:left="644"/>
        <w:jc w:val="both"/>
        <w:rPr>
          <w:lang w:val="vi-VN"/>
        </w:rPr>
      </w:pPr>
      <w:r>
        <w:rPr>
          <w:lang w:val="vi-VN"/>
        </w:rPr>
        <w:t>Bên A cung cấp cho Bên B các tài liệu, chứng từ hợp pháp theo Thông Tư</w:t>
      </w:r>
      <w:r>
        <w:rPr>
          <w:b/>
          <w:lang w:val="vi-VN"/>
        </w:rPr>
        <w:t xml:space="preserve"> </w:t>
      </w:r>
      <w:r>
        <w:rPr>
          <w:lang w:val="vi-VN"/>
        </w:rPr>
        <w:t>61/2007/TT-BCT và thông tư Liên Tịch số 60/2011/TTLT-BTC-BCT-BCA để thuận tiện cho Bên B trong quá trình giao nhận, vận chuyển. Bên A hoàn toàn chịu các trách nhiệm pháp lý liên quan đến chứng từ xuất xứ hàng hóa.</w:t>
      </w:r>
    </w:p>
    <w:p>
      <w:pPr>
        <w:numPr>
          <w:ilvl w:val="0"/>
          <w:numId w:val="1"/>
        </w:numPr>
        <w:tabs>
          <w:tab w:val="left" w:pos="644"/>
          <w:tab w:val="left" w:pos="900"/>
          <w:tab w:val="clear" w:pos="720"/>
        </w:tabs>
        <w:spacing w:line="312" w:lineRule="auto"/>
        <w:ind w:left="644"/>
        <w:jc w:val="both"/>
        <w:rPr>
          <w:lang w:val="vi-VN"/>
        </w:rPr>
      </w:pPr>
      <w:r>
        <w:rPr>
          <w:lang w:val="vi-VN"/>
        </w:rPr>
        <w:t>Bên B không chịu trách nhiệm bồi thường vật chất cũng như thời gian chậm trễ giao hàng trong trường hợp hàng hóa bị kiểm tra, giam giữ hoặc bất kỳ sự can thiệp nào của cơ quan quản lý thị trường hoặc các cơ quan quản lý nhà nước liên quan trong quá trình vận chuyển h</w:t>
      </w:r>
      <w:r>
        <w:t>à</w:t>
      </w:r>
      <w:r>
        <w:rPr>
          <w:lang w:val="vi-VN"/>
        </w:rPr>
        <w:t>ng hóa</w:t>
      </w:r>
    </w:p>
    <w:p>
      <w:pPr>
        <w:numPr>
          <w:ilvl w:val="0"/>
          <w:numId w:val="1"/>
        </w:numPr>
        <w:tabs>
          <w:tab w:val="left" w:pos="644"/>
          <w:tab w:val="left" w:pos="900"/>
          <w:tab w:val="clear" w:pos="720"/>
        </w:tabs>
        <w:spacing w:line="312" w:lineRule="auto"/>
        <w:ind w:left="644"/>
        <w:jc w:val="both"/>
        <w:rPr>
          <w:lang w:val="vi-VN"/>
        </w:rPr>
      </w:pPr>
      <w:r>
        <w:rPr>
          <w:lang w:val="vi-VN"/>
        </w:rPr>
        <w:t>Đối với những mặt hàng có kính bên B không chịu trách nhiệm đền bù nếu có bể vỡ.</w:t>
      </w:r>
    </w:p>
    <w:p>
      <w:pPr>
        <w:numPr>
          <w:ilvl w:val="0"/>
          <w:numId w:val="3"/>
        </w:numPr>
        <w:tabs>
          <w:tab w:val="left" w:pos="540"/>
          <w:tab w:val="clear" w:pos="1440"/>
        </w:tabs>
        <w:spacing w:line="312" w:lineRule="auto"/>
        <w:ind w:left="540" w:hanging="540"/>
        <w:jc w:val="both"/>
        <w:rPr>
          <w:lang w:val="vi-VN"/>
        </w:rPr>
      </w:pPr>
      <w:r>
        <w:rPr>
          <w:lang w:val="vi-VN"/>
        </w:rPr>
        <w:t>Quy cách hàng hóa khi vận chuyển: Theo quy cách của Bên A. Tại thời điểm bốc xếp hàng lên phương tiện vận chuyển, hai bên sẽ cử nhân viên kiểm tra và lập biên bản ghi nhận về quy cách hàng hoá.</w:t>
      </w:r>
    </w:p>
    <w:p>
      <w:pPr>
        <w:numPr>
          <w:ilvl w:val="0"/>
          <w:numId w:val="3"/>
        </w:numPr>
        <w:tabs>
          <w:tab w:val="left" w:pos="540"/>
          <w:tab w:val="clear" w:pos="1440"/>
        </w:tabs>
        <w:spacing w:line="312" w:lineRule="auto"/>
        <w:ind w:left="540" w:hanging="540"/>
        <w:jc w:val="both"/>
        <w:rPr>
          <w:lang w:val="vi-VN"/>
        </w:rPr>
      </w:pPr>
      <w:r>
        <w:rPr>
          <w:lang w:val="vi-VN"/>
        </w:rPr>
        <w:t>Tính chất của hàng hóa: Hàng hóa vận chuyển là máy móc, thiết bị, sản phẩm không chịu được lực va đập mạnh, lực ép, môi trường hóa chất, cần được bảo quản tốt, bảo đảm giữ nguyên trạng thái ban đầu theo quy cách hàng hoá đã được hai bên ghi nhận.</w:t>
      </w:r>
    </w:p>
    <w:p>
      <w:pPr>
        <w:numPr>
          <w:ilvl w:val="0"/>
          <w:numId w:val="3"/>
        </w:numPr>
        <w:tabs>
          <w:tab w:val="left" w:pos="540"/>
          <w:tab w:val="clear" w:pos="1440"/>
        </w:tabs>
        <w:spacing w:line="312" w:lineRule="auto"/>
        <w:ind w:left="540" w:hanging="540"/>
        <w:jc w:val="both"/>
        <w:rPr>
          <w:lang w:val="vi-VN"/>
        </w:rPr>
      </w:pPr>
      <w:r>
        <w:rPr>
          <w:lang w:val="vi-VN"/>
        </w:rPr>
        <w:t>Đơn vị sử dụng để làm căn cứ tính giá cước của hàng hóa là: Chuyến xe hoặc m</w:t>
      </w:r>
      <w:r>
        <w:rPr>
          <w:vertAlign w:val="superscript"/>
          <w:lang w:val="vi-VN"/>
        </w:rPr>
        <w:t>3</w:t>
      </w:r>
      <w:r>
        <w:rPr>
          <w:lang w:val="vi-VN"/>
        </w:rPr>
        <w:t xml:space="preserve"> (khối) hoặc Kg được xác định theo báo giá của Bên B.</w:t>
      </w:r>
    </w:p>
    <w:p>
      <w:pPr>
        <w:numPr>
          <w:ilvl w:val="0"/>
          <w:numId w:val="3"/>
        </w:numPr>
        <w:tabs>
          <w:tab w:val="left" w:pos="540"/>
          <w:tab w:val="clear" w:pos="1440"/>
        </w:tabs>
        <w:spacing w:line="312" w:lineRule="auto"/>
        <w:ind w:left="540" w:hanging="540"/>
        <w:jc w:val="both"/>
        <w:rPr>
          <w:lang w:val="vi-VN"/>
        </w:rPr>
      </w:pPr>
      <w:r>
        <w:rPr>
          <w:lang w:val="vi-VN"/>
        </w:rPr>
        <w:t>Bên A cung cấp cho Bên B đầy đủ các thông tin về khối lượng hàng hóa từng chuyến.</w:t>
      </w:r>
    </w:p>
    <w:p>
      <w:pPr>
        <w:spacing w:line="312" w:lineRule="auto"/>
        <w:ind w:left="540"/>
        <w:jc w:val="both"/>
        <w:rPr>
          <w:lang w:val="vi-VN"/>
        </w:rPr>
      </w:pPr>
    </w:p>
    <w:p>
      <w:pPr>
        <w:spacing w:line="312" w:lineRule="auto"/>
        <w:jc w:val="both"/>
        <w:rPr>
          <w:rStyle w:val="9"/>
          <w:rFonts w:ascii="Times New Roman" w:hAnsi="Times New Roman"/>
          <w:b/>
          <w:color w:val="auto"/>
        </w:rPr>
      </w:pPr>
      <w:r>
        <w:rPr>
          <w:b/>
        </w:rPr>
        <w:t>ĐIỀU 2: PHƯƠNG TIỆN VẬN CHUYỂN</w:t>
      </w:r>
    </w:p>
    <w:p>
      <w:pPr>
        <w:numPr>
          <w:ilvl w:val="1"/>
          <w:numId w:val="4"/>
        </w:numPr>
        <w:tabs>
          <w:tab w:val="left" w:pos="540"/>
          <w:tab w:val="clear" w:pos="360"/>
        </w:tabs>
        <w:spacing w:line="312" w:lineRule="auto"/>
        <w:ind w:left="540" w:hanging="540"/>
        <w:jc w:val="both"/>
      </w:pPr>
      <w:r>
        <w:t xml:space="preserve"> Phương tiện vận chuyển:   </w:t>
      </w:r>
      <w:r>
        <w:tab/>
      </w:r>
      <w:r>
        <w:t xml:space="preserve">Xe ô tô </w:t>
      </w:r>
      <w:bookmarkStart w:id="0" w:name="Check2"/>
      <w:r>
        <w:fldChar w:fldCharType="begin">
          <w:ffData>
            <w:name w:val="Check2"/>
            <w:enabled/>
            <w:calcOnExit w:val="0"/>
            <w:checkBox>
              <w:sizeAuto/>
              <w:default w:val="1"/>
              <w:checked/>
            </w:checkBox>
          </w:ffData>
        </w:fldChar>
      </w:r>
      <w:r>
        <w:instrText xml:space="preserve"> FORMCHECKBOX </w:instrText>
      </w:r>
      <w:r>
        <w:fldChar w:fldCharType="separate"/>
      </w:r>
      <w:r>
        <w:fldChar w:fldCharType="end"/>
      </w:r>
      <w:bookmarkEnd w:id="0"/>
      <w:r>
        <w:t xml:space="preserve"> </w:t>
      </w:r>
      <w:r>
        <w:tab/>
      </w:r>
      <w:r>
        <w:t xml:space="preserve"> </w:t>
      </w:r>
    </w:p>
    <w:p>
      <w:pPr>
        <w:numPr>
          <w:ilvl w:val="1"/>
          <w:numId w:val="4"/>
        </w:numPr>
        <w:tabs>
          <w:tab w:val="left" w:pos="540"/>
          <w:tab w:val="clear" w:pos="360"/>
        </w:tabs>
        <w:spacing w:line="312" w:lineRule="auto"/>
        <w:ind w:left="540" w:hanging="540"/>
        <w:jc w:val="both"/>
        <w:rPr>
          <w:color w:val="000000"/>
        </w:rPr>
      </w:pPr>
      <w:r>
        <w:t xml:space="preserve"> </w:t>
      </w:r>
      <w:r>
        <w:rPr>
          <w:color w:val="000000"/>
        </w:rPr>
        <w:t xml:space="preserve">Bên B chịu trách nhiệm về kỹ thuật, an toàn cho phương tiện vận chuyển để bảo đảm vận chuyển đúng lịch trình và đảm bảo sự an toàn cho hàng hóa. </w:t>
      </w:r>
    </w:p>
    <w:p>
      <w:pPr>
        <w:numPr>
          <w:ilvl w:val="1"/>
          <w:numId w:val="4"/>
        </w:numPr>
        <w:tabs>
          <w:tab w:val="left" w:pos="540"/>
          <w:tab w:val="clear" w:pos="360"/>
        </w:tabs>
        <w:spacing w:line="312" w:lineRule="auto"/>
        <w:ind w:left="540" w:hanging="540"/>
        <w:jc w:val="both"/>
        <w:rPr>
          <w:color w:val="000000"/>
        </w:rPr>
      </w:pPr>
      <w:r>
        <w:rPr>
          <w:color w:val="000000"/>
        </w:rPr>
        <w:t>Bên B phải chuẩn bị đầy đủ giấy tờ cho phương tiện đi lại hợp lệ trên tuyến giao thông vận chuyển số hàng hóa theo yêu cầu của Bên A và chịu mọi hậu quả về giấy tờ pháp lý của phương tiện vận tải.</w:t>
      </w:r>
    </w:p>
    <w:p>
      <w:pPr>
        <w:numPr>
          <w:ilvl w:val="1"/>
          <w:numId w:val="4"/>
        </w:numPr>
        <w:tabs>
          <w:tab w:val="left" w:pos="540"/>
          <w:tab w:val="clear" w:pos="360"/>
        </w:tabs>
        <w:spacing w:line="312" w:lineRule="auto"/>
        <w:ind w:left="540" w:hanging="540"/>
        <w:jc w:val="both"/>
        <w:rPr>
          <w:color w:val="000000"/>
        </w:rPr>
      </w:pPr>
      <w:r>
        <w:rPr>
          <w:color w:val="000000"/>
        </w:rPr>
        <w:t>Bên B có trách nhiệm bố trí phương tiện vận chuyển phù hợp cho từng loại hàng hóa vận chuyển và phù hợp với số lượng hàng hóa của mỗi chuyến.</w:t>
      </w:r>
    </w:p>
    <w:p>
      <w:pPr>
        <w:spacing w:line="312" w:lineRule="auto"/>
        <w:ind w:left="540"/>
        <w:jc w:val="both"/>
        <w:rPr>
          <w:color w:val="000000"/>
        </w:rPr>
      </w:pPr>
    </w:p>
    <w:p>
      <w:pPr>
        <w:spacing w:line="312" w:lineRule="auto"/>
        <w:jc w:val="both"/>
        <w:rPr>
          <w:b/>
          <w:color w:val="000000"/>
        </w:rPr>
      </w:pPr>
      <w:r>
        <w:rPr>
          <w:b/>
          <w:color w:val="000000"/>
        </w:rPr>
        <w:t>ĐIỀU 3: GIÁ CẢ - PHƯƠNG THỨC THANH TOÁN</w:t>
      </w:r>
    </w:p>
    <w:p>
      <w:pPr>
        <w:numPr>
          <w:ilvl w:val="0"/>
          <w:numId w:val="1"/>
        </w:numPr>
        <w:spacing w:line="312" w:lineRule="auto"/>
        <w:jc w:val="both"/>
        <w:rPr>
          <w:b/>
          <w:color w:val="000000"/>
        </w:rPr>
      </w:pPr>
      <w:r>
        <w:rPr>
          <w:color w:val="000000"/>
        </w:rPr>
        <w:t xml:space="preserve">Giá cước vận chuyển: </w:t>
      </w:r>
      <w:r>
        <w:rPr>
          <w:b/>
          <w:color w:val="000000"/>
        </w:rPr>
        <w:t>Theo báo giá vận tải đính kèm ( Báo giá qua zalo, email, tin nhắn…)</w:t>
      </w:r>
    </w:p>
    <w:p>
      <w:pPr>
        <w:numPr>
          <w:ilvl w:val="0"/>
          <w:numId w:val="1"/>
        </w:numPr>
        <w:spacing w:before="120" w:line="360" w:lineRule="auto"/>
        <w:jc w:val="both"/>
      </w:pPr>
      <w:r>
        <w:rPr>
          <w:color w:val="000000"/>
        </w:rPr>
        <w:t>Đơn giá: Theo bảng báo giá vận tải đính kèm.</w:t>
      </w:r>
    </w:p>
    <w:p>
      <w:pPr>
        <w:numPr>
          <w:ilvl w:val="0"/>
          <w:numId w:val="1"/>
        </w:numPr>
        <w:tabs>
          <w:tab w:val="left" w:pos="900"/>
        </w:tabs>
        <w:spacing w:line="360" w:lineRule="auto"/>
        <w:jc w:val="both"/>
      </w:pPr>
      <w:r>
        <w:t>Giá chưa bao gồm phí VAT.</w:t>
      </w:r>
    </w:p>
    <w:p>
      <w:pPr>
        <w:numPr>
          <w:ilvl w:val="0"/>
          <w:numId w:val="1"/>
        </w:numPr>
        <w:spacing w:line="312" w:lineRule="auto"/>
        <w:jc w:val="both"/>
        <w:rPr>
          <w:color w:val="000000"/>
        </w:rPr>
      </w:pPr>
      <w:r>
        <w:rPr>
          <w:color w:val="000000"/>
        </w:rPr>
        <w:t>Giá cước vận chuyển là giá theo bảng báo giá của Bên B đã được Bên A phê duyệt chấp nhận theo từng thời điểm.</w:t>
      </w:r>
    </w:p>
    <w:p>
      <w:pPr>
        <w:numPr>
          <w:ilvl w:val="0"/>
          <w:numId w:val="1"/>
        </w:numPr>
        <w:spacing w:line="312" w:lineRule="auto"/>
        <w:jc w:val="both"/>
        <w:rPr>
          <w:color w:val="000000"/>
        </w:rPr>
      </w:pPr>
      <w:r>
        <w:rPr>
          <w:color w:val="000000"/>
        </w:rPr>
        <w:t>Giá cả được điều chỉnh tùy theo sự biến động của thị trường.</w:t>
      </w:r>
    </w:p>
    <w:p>
      <w:pPr>
        <w:numPr>
          <w:ilvl w:val="0"/>
          <w:numId w:val="5"/>
        </w:numPr>
        <w:tabs>
          <w:tab w:val="left" w:pos="540"/>
          <w:tab w:val="clear" w:pos="1440"/>
        </w:tabs>
        <w:spacing w:line="312" w:lineRule="auto"/>
        <w:ind w:left="540" w:hanging="540"/>
        <w:jc w:val="both"/>
        <w:rPr>
          <w:color w:val="000000"/>
        </w:rPr>
      </w:pPr>
      <w:r>
        <w:rPr>
          <w:color w:val="000000"/>
        </w:rPr>
        <w:t>Chi phí bốc, xếp lên phương tiện vận chuyển do Bên A chịu. Bên A có trách nhiệm bố trí nhân lực để bốc, xếp hàng. Trong trường hợp Bên A đưa hàng qua kho Bên B thì Bên B có trách nhiệm bốc xếp, nâng hạ hàng cho Bên A.</w:t>
      </w:r>
    </w:p>
    <w:p>
      <w:pPr>
        <w:numPr>
          <w:ilvl w:val="0"/>
          <w:numId w:val="5"/>
        </w:numPr>
        <w:tabs>
          <w:tab w:val="left" w:pos="540"/>
          <w:tab w:val="clear" w:pos="1440"/>
        </w:tabs>
        <w:spacing w:line="312" w:lineRule="auto"/>
        <w:ind w:left="540" w:hanging="540"/>
        <w:jc w:val="both"/>
        <w:rPr>
          <w:color w:val="000000" w:themeColor="text1"/>
          <w14:textFill>
            <w14:solidFill>
              <w14:schemeClr w14:val="tx1"/>
            </w14:solidFill>
          </w14:textFill>
        </w:rPr>
      </w:pPr>
      <w:r>
        <w:rPr>
          <w:color w:val="000000" w:themeColor="text1"/>
          <w14:textFill>
            <w14:solidFill>
              <w14:schemeClr w14:val="tx1"/>
            </w14:solidFill>
          </w14:textFill>
        </w:rPr>
        <w:t>Phương thức thanh toán: Bên A có trách nhiệm thanh toán cước vận chuyển cho Bên B trong vòng 07 ngày sau khi phía khách hàng bên A nhận được hàng.</w:t>
      </w:r>
    </w:p>
    <w:p>
      <w:pPr>
        <w:numPr>
          <w:ilvl w:val="1"/>
          <w:numId w:val="6"/>
        </w:numPr>
        <w:spacing w:line="312" w:lineRule="auto"/>
        <w:jc w:val="both"/>
        <w:rPr>
          <w:color w:val="000000"/>
        </w:rPr>
      </w:pPr>
      <w:r>
        <w:rPr>
          <w:color w:val="000000"/>
          <w:lang w:val="vi-VN"/>
        </w:rPr>
        <w:t xml:space="preserve">   </w:t>
      </w:r>
      <w:r>
        <w:rPr>
          <w:color w:val="000000"/>
        </w:rPr>
        <w:t>Bên A có trách nhiệm thanh toán đúng và đủ cước phí vận chuyển theo số liệu công nợ theo đúng phương thức thanh toán. Trường hợp Bên A chậm thanh toán khi Bên B đã hoàn tất việc giao hàng, hóa đơn cước phí vận chuyển thì Bên A phải chịu lãi suất theo lãi suất trả chậm của Ngân hàng Ngoại thương công bố.</w:t>
      </w:r>
    </w:p>
    <w:p>
      <w:pPr>
        <w:spacing w:line="312" w:lineRule="auto"/>
        <w:ind w:left="540"/>
        <w:jc w:val="both"/>
        <w:rPr>
          <w:color w:val="000000"/>
        </w:rPr>
      </w:pPr>
    </w:p>
    <w:p>
      <w:pPr>
        <w:spacing w:line="312" w:lineRule="auto"/>
        <w:jc w:val="both"/>
        <w:rPr>
          <w:b/>
        </w:rPr>
      </w:pPr>
      <w:r>
        <w:rPr>
          <w:b/>
        </w:rPr>
        <w:t>ĐIỀU 4: ĐỊA ĐIỂM - THỜI GIAN - PHƯƠNG THỨC GIAO NHẬN HÀNG</w:t>
      </w:r>
    </w:p>
    <w:p>
      <w:pPr>
        <w:numPr>
          <w:ilvl w:val="0"/>
          <w:numId w:val="7"/>
        </w:numPr>
        <w:tabs>
          <w:tab w:val="left" w:pos="540"/>
          <w:tab w:val="right" w:leader="dot" w:pos="9450"/>
          <w:tab w:val="clear" w:pos="1440"/>
        </w:tabs>
        <w:spacing w:line="312" w:lineRule="auto"/>
        <w:ind w:left="540" w:hanging="540"/>
        <w:jc w:val="both"/>
        <w:rPr>
          <w:b/>
        </w:rPr>
      </w:pPr>
      <w:r>
        <w:t>Địa điểm  nhận hàng : Theo yêu cầu tại mỗi thời điểm giao nhận hàng</w:t>
      </w:r>
    </w:p>
    <w:p>
      <w:pPr>
        <w:numPr>
          <w:ilvl w:val="0"/>
          <w:numId w:val="7"/>
        </w:numPr>
        <w:tabs>
          <w:tab w:val="left" w:pos="540"/>
          <w:tab w:val="right" w:leader="dot" w:pos="9450"/>
          <w:tab w:val="clear" w:pos="1440"/>
        </w:tabs>
        <w:spacing w:line="312" w:lineRule="auto"/>
        <w:ind w:left="540" w:hanging="540"/>
        <w:jc w:val="both"/>
      </w:pPr>
      <w:r>
        <w:t>Địa điểm giao hàng: Theo yêu cầu tại mỗi thời điểm giao nhận hàng</w:t>
      </w:r>
    </w:p>
    <w:p>
      <w:pPr>
        <w:numPr>
          <w:ilvl w:val="0"/>
          <w:numId w:val="7"/>
        </w:numPr>
        <w:tabs>
          <w:tab w:val="left" w:pos="540"/>
          <w:tab w:val="right" w:leader="dot" w:pos="9450"/>
          <w:tab w:val="clear" w:pos="1440"/>
        </w:tabs>
        <w:spacing w:line="312" w:lineRule="auto"/>
        <w:ind w:left="540" w:hanging="540"/>
        <w:jc w:val="both"/>
      </w:pPr>
      <w:r>
        <w:t>Thời gian giao nhận hàng: Theo thỏa thuận giữa hai bên</w:t>
      </w:r>
    </w:p>
    <w:p>
      <w:pPr>
        <w:spacing w:line="312" w:lineRule="auto"/>
        <w:ind w:left="567" w:right="202"/>
        <w:jc w:val="both"/>
      </w:pPr>
      <w:r>
        <w:t>Trong trường hợp chậm giao hàng theo thời gian đã cam kết như trên, Bên B phải chịu phạt 0,5% giá trị cước vận chuyển lô hàng/ngày.</w:t>
      </w:r>
    </w:p>
    <w:p>
      <w:pPr>
        <w:numPr>
          <w:ilvl w:val="0"/>
          <w:numId w:val="7"/>
        </w:numPr>
        <w:tabs>
          <w:tab w:val="left" w:pos="540"/>
          <w:tab w:val="clear" w:pos="1440"/>
        </w:tabs>
        <w:spacing w:line="312" w:lineRule="auto"/>
        <w:ind w:left="540" w:hanging="540"/>
        <w:jc w:val="both"/>
      </w:pPr>
      <w:r>
        <w:t>Phương thức giao hàng: Giao ngay tại địa điểm giao hàng. Trong trường hợp giao hàng vào thời gian từ sau 16h cho đến trước 7h30 ngày hôm sau thì Bên B phải thông báo trước cho Bên A để Bên A sắp xếp nhân sự bốc, xếp, nhận hàng.</w:t>
      </w:r>
    </w:p>
    <w:p>
      <w:pPr>
        <w:numPr>
          <w:ilvl w:val="0"/>
          <w:numId w:val="7"/>
        </w:numPr>
        <w:tabs>
          <w:tab w:val="left" w:pos="540"/>
          <w:tab w:val="clear" w:pos="1440"/>
        </w:tabs>
        <w:spacing w:line="312" w:lineRule="auto"/>
        <w:ind w:left="540" w:hanging="540"/>
        <w:jc w:val="both"/>
      </w:pPr>
      <w:r>
        <w:t>Quy cách hàng giao: Hàng giao phải đảm bảo nguyên vẹn theo quy cách hàng hoá lúc giao nhận tại nơi nhận hàng của Bên A; không bị bóp méo, dập nát, gãy, vỡ, biến dạng hoặc thiếu hụt.</w:t>
      </w:r>
    </w:p>
    <w:p>
      <w:pPr>
        <w:spacing w:line="312" w:lineRule="auto"/>
        <w:jc w:val="both"/>
        <w:rPr>
          <w:b/>
        </w:rPr>
      </w:pPr>
      <w:r>
        <w:rPr>
          <w:b/>
        </w:rPr>
        <w:t>ĐIỀU 5:  XÁC NHẬN VẬN CHUYỂN VÀ CÁC GIẤY TỜ KÈM THEO</w:t>
      </w:r>
    </w:p>
    <w:p>
      <w:pPr>
        <w:numPr>
          <w:ilvl w:val="0"/>
          <w:numId w:val="8"/>
        </w:numPr>
        <w:tabs>
          <w:tab w:val="left" w:pos="540"/>
          <w:tab w:val="clear" w:pos="1440"/>
        </w:tabs>
        <w:spacing w:line="312" w:lineRule="auto"/>
        <w:ind w:left="540" w:hanging="540"/>
        <w:jc w:val="both"/>
      </w:pPr>
      <w:r>
        <w:t>Xác nhận yêu cầu vận chuyển: Khi có yêu cầu vận chuyển, Bên A có trách nhiệm báo trước 01 ngày cho Bên B về thời gian nhận hàng, địa điểm nhận hàng và khối lượng hàng bằng văn bản gửi qua fax hoặc bằng điện thoại.</w:t>
      </w:r>
    </w:p>
    <w:p>
      <w:pPr>
        <w:numPr>
          <w:ilvl w:val="0"/>
          <w:numId w:val="8"/>
        </w:numPr>
        <w:tabs>
          <w:tab w:val="left" w:pos="540"/>
          <w:tab w:val="clear" w:pos="1440"/>
        </w:tabs>
        <w:spacing w:line="312" w:lineRule="auto"/>
        <w:ind w:left="540" w:hanging="540"/>
        <w:jc w:val="both"/>
      </w:pPr>
      <w:r>
        <w:t>Các giấy tờ kèm theo các đợt vận chuyển: Bên A chịu trách nhiệm về các giấy tờ có liên quan đến hàng hoá và chịu trách nhiệm về tính hợp pháp của hàng hóa vận chuyển.</w:t>
      </w:r>
    </w:p>
    <w:p>
      <w:pPr>
        <w:numPr>
          <w:ilvl w:val="0"/>
          <w:numId w:val="8"/>
        </w:numPr>
        <w:tabs>
          <w:tab w:val="left" w:pos="540"/>
          <w:tab w:val="clear" w:pos="1440"/>
        </w:tabs>
        <w:spacing w:line="312" w:lineRule="auto"/>
        <w:ind w:left="540" w:hanging="540"/>
        <w:jc w:val="both"/>
      </w:pPr>
      <w:r>
        <w:t>Kèm theo mỗi đợt vận chuyển là Bảng kê chi tiết hàng vận chuyển, trong đó thể hiện rõ khối lượng, số lượng từng mặt hàng và của cả lô hàng.</w:t>
      </w:r>
    </w:p>
    <w:p>
      <w:pPr>
        <w:spacing w:line="312" w:lineRule="auto"/>
        <w:ind w:left="540"/>
        <w:jc w:val="both"/>
      </w:pPr>
    </w:p>
    <w:p>
      <w:pPr>
        <w:spacing w:line="312" w:lineRule="auto"/>
        <w:jc w:val="both"/>
        <w:rPr>
          <w:b/>
        </w:rPr>
      </w:pPr>
      <w:r>
        <w:rPr>
          <w:b/>
        </w:rPr>
        <w:t>ĐIỀU 6: BỒI THƯỜNG THIỆT HẠI</w:t>
      </w:r>
    </w:p>
    <w:p>
      <w:pPr>
        <w:numPr>
          <w:ilvl w:val="0"/>
          <w:numId w:val="9"/>
        </w:numPr>
        <w:tabs>
          <w:tab w:val="left" w:pos="540"/>
          <w:tab w:val="clear" w:pos="1440"/>
        </w:tabs>
        <w:spacing w:line="312" w:lineRule="auto"/>
        <w:ind w:left="540" w:hanging="540"/>
        <w:jc w:val="both"/>
      </w:pPr>
      <w:r>
        <w:t>Trong quá trình vận chuyển và giao hàng, Bên B phải bồi thường cho Bên A trong trường hợp hàng bị hư hỏng, mất mát.</w:t>
      </w:r>
    </w:p>
    <w:p>
      <w:pPr>
        <w:numPr>
          <w:ilvl w:val="0"/>
          <w:numId w:val="9"/>
        </w:numPr>
        <w:tabs>
          <w:tab w:val="left" w:pos="540"/>
          <w:tab w:val="clear" w:pos="1440"/>
        </w:tabs>
        <w:spacing w:line="312" w:lineRule="auto"/>
        <w:ind w:left="540" w:hanging="540"/>
        <w:jc w:val="both"/>
      </w:pPr>
      <w:r>
        <w:t>Mức bồi thường: Bên B phải bồi thường cho Bên A toàn bộ giá trị hàng hóa bị hư hỏng, mất mát. Giá trị của hàng hóa để tính mức bồi thường được xác định theo giá trị căn cứ trên các hoá đơn chứng từ hợp lệ có liên quan đến hàng hoá đó do Bên A xác định và cung cấp.</w:t>
      </w:r>
    </w:p>
    <w:p>
      <w:pPr>
        <w:numPr>
          <w:ilvl w:val="0"/>
          <w:numId w:val="9"/>
        </w:numPr>
        <w:tabs>
          <w:tab w:val="left" w:pos="540"/>
          <w:tab w:val="clear" w:pos="1440"/>
        </w:tabs>
        <w:spacing w:line="312" w:lineRule="auto"/>
        <w:ind w:left="540" w:hanging="540"/>
        <w:jc w:val="both"/>
      </w:pPr>
      <w:r>
        <w:t>Trong trường hợp hai bên không xác định được giá trị hàng hóa thì giá trị hàng hóa được tính trên cơ sở giá bán thực tế của hàng hóa đó trên thị trường.</w:t>
      </w:r>
    </w:p>
    <w:p>
      <w:pPr>
        <w:spacing w:line="312" w:lineRule="auto"/>
        <w:ind w:left="540"/>
        <w:jc w:val="both"/>
      </w:pPr>
    </w:p>
    <w:p>
      <w:pPr>
        <w:spacing w:line="312" w:lineRule="auto"/>
        <w:jc w:val="both"/>
        <w:rPr>
          <w:b/>
        </w:rPr>
      </w:pPr>
      <w:r>
        <w:rPr>
          <w:b/>
        </w:rPr>
        <w:t>ĐIỀU 7: TRƯỜNG HỢP BẤT KHẢ KHÁNG</w:t>
      </w:r>
    </w:p>
    <w:p>
      <w:pPr>
        <w:numPr>
          <w:ilvl w:val="0"/>
          <w:numId w:val="10"/>
        </w:numPr>
        <w:tabs>
          <w:tab w:val="left" w:pos="540"/>
          <w:tab w:val="clear" w:pos="1440"/>
        </w:tabs>
        <w:spacing w:line="312" w:lineRule="auto"/>
        <w:ind w:left="540" w:hanging="540"/>
        <w:jc w:val="both"/>
        <w:rPr>
          <w:color w:val="000000" w:themeColor="text1"/>
          <w14:textFill>
            <w14:solidFill>
              <w14:schemeClr w14:val="tx1"/>
            </w14:solidFill>
          </w14:textFill>
        </w:rPr>
      </w:pPr>
      <w:r>
        <w:t>Trường hợp bất khả kháng bao gồm: thiên tai, động đất, bão lụt, kẹt phà, kẹt đường</w:t>
      </w:r>
      <w:r>
        <w:rPr>
          <w:color w:val="000000" w:themeColor="text1"/>
          <w14:textFill>
            <w14:solidFill>
              <w14:schemeClr w14:val="tx1"/>
            </w14:solidFill>
          </w14:textFill>
        </w:rPr>
        <w:t>, hỏa hoạn, tai nạn giao thông không do lỗi của Bên B và các trường hợp khác không thể lường trước được, không thể khắc phục được mặc dù đã áp dụng mọi biện pháp cần thiết và khả năng cho phép. Trừ trường hợp có thỏa thuận khác giữa hai bên.</w:t>
      </w:r>
    </w:p>
    <w:p>
      <w:pPr>
        <w:spacing w:line="312" w:lineRule="auto"/>
        <w:jc w:val="both"/>
        <w:rPr>
          <w:color w:val="FF0000"/>
        </w:rPr>
      </w:pPr>
    </w:p>
    <w:p>
      <w:pPr>
        <w:spacing w:line="312" w:lineRule="auto"/>
        <w:jc w:val="both"/>
        <w:rPr>
          <w:color w:val="FF0000"/>
        </w:rPr>
      </w:pPr>
    </w:p>
    <w:p>
      <w:pPr>
        <w:spacing w:line="312" w:lineRule="auto"/>
        <w:jc w:val="both"/>
        <w:rPr>
          <w:b/>
        </w:rPr>
      </w:pPr>
      <w:r>
        <w:rPr>
          <w:b/>
        </w:rPr>
        <w:t>ĐIỀU 8: ĐIỀU KHOẢN CHUNG</w:t>
      </w:r>
    </w:p>
    <w:p>
      <w:pPr>
        <w:numPr>
          <w:ilvl w:val="0"/>
          <w:numId w:val="11"/>
        </w:numPr>
        <w:tabs>
          <w:tab w:val="left" w:pos="540"/>
          <w:tab w:val="clear" w:pos="1440"/>
        </w:tabs>
        <w:spacing w:line="312" w:lineRule="auto"/>
        <w:ind w:left="540" w:hanging="540"/>
        <w:jc w:val="both"/>
      </w:pPr>
      <w:r>
        <w:t>Hai bên cam kết  thực hiện đúng những điều khoản đã cam kết trong hợp đồng, nếu có vướng mắc, hai bên cùng trao đổi, bàn bạc giải quyết trên tinh thần hợp tác.</w:t>
      </w:r>
    </w:p>
    <w:p>
      <w:pPr>
        <w:numPr>
          <w:ilvl w:val="0"/>
          <w:numId w:val="11"/>
        </w:numPr>
        <w:tabs>
          <w:tab w:val="left" w:pos="540"/>
          <w:tab w:val="clear" w:pos="1440"/>
        </w:tabs>
        <w:spacing w:line="312" w:lineRule="auto"/>
        <w:ind w:left="540" w:hanging="540"/>
        <w:jc w:val="both"/>
      </w:pPr>
      <w:r>
        <w:t>Trong trường hợp phát sinh tranh chấp mà không thể giải quyết bằng thương lượng, mỗi bên có quyền yêu cầu Tòa án có thẩm quyền giải quyết theo quy định của pháp luật.</w:t>
      </w:r>
    </w:p>
    <w:p>
      <w:pPr>
        <w:numPr>
          <w:ilvl w:val="0"/>
          <w:numId w:val="11"/>
        </w:numPr>
        <w:tabs>
          <w:tab w:val="left" w:pos="540"/>
          <w:tab w:val="clear" w:pos="1440"/>
        </w:tabs>
        <w:spacing w:line="312" w:lineRule="auto"/>
        <w:ind w:left="540" w:hanging="540"/>
        <w:jc w:val="both"/>
      </w:pPr>
      <w:r>
        <w:t>Ngoài các điều khoản đã quy định trong hợp đồng này, những vấn đề phát sinh mà chưa được nêu trong hợp đồng sẽ được giải quyết theo quy định của Bộ Luật Dân sự 2015 và Luật Thương mại năm 2005.</w:t>
      </w:r>
    </w:p>
    <w:p>
      <w:pPr>
        <w:numPr>
          <w:ilvl w:val="0"/>
          <w:numId w:val="11"/>
        </w:numPr>
        <w:tabs>
          <w:tab w:val="left" w:pos="567"/>
          <w:tab w:val="clear" w:pos="1440"/>
        </w:tabs>
        <w:spacing w:line="312" w:lineRule="auto"/>
        <w:ind w:left="0" w:firstLine="0"/>
        <w:jc w:val="both"/>
      </w:pPr>
      <w:r>
        <w:t>Hợp đồng này có hiệu lực kể từ ngày ký đến hết ngày 31 tháng 12 năm 2023</w:t>
      </w:r>
    </w:p>
    <w:p>
      <w:pPr>
        <w:numPr>
          <w:ilvl w:val="0"/>
          <w:numId w:val="11"/>
        </w:numPr>
        <w:tabs>
          <w:tab w:val="left" w:pos="540"/>
          <w:tab w:val="clear" w:pos="1440"/>
        </w:tabs>
        <w:spacing w:line="312" w:lineRule="auto"/>
        <w:ind w:left="540" w:hanging="540"/>
        <w:jc w:val="both"/>
      </w:pPr>
      <w:r>
        <w:t>Hợp đồng này được lập thành 02 bản, có giá trị pháp lý như nhau, mỗi bên giữ 01 bản. Mọi bổ sung, thay đổi hợp đồng này phải được hai bên lập thành văn bản Phụ lục hợp đồng.</w:t>
      </w:r>
    </w:p>
    <w:p>
      <w:pPr>
        <w:spacing w:line="312" w:lineRule="auto"/>
        <w:ind w:left="540"/>
        <w:jc w:val="both"/>
      </w:pPr>
    </w:p>
    <w:p>
      <w:pPr>
        <w:spacing w:line="312" w:lineRule="auto"/>
        <w:rPr>
          <w:b/>
        </w:rPr>
      </w:pPr>
      <w:r>
        <w:t xml:space="preserve">          </w:t>
      </w:r>
      <w:r>
        <w:rPr>
          <w:b/>
        </w:rPr>
        <w:t>ĐẠI DIỆN BÊN A                                                                          ĐẠI DIỆN BÊN B</w:t>
      </w:r>
    </w:p>
    <w:p>
      <w:pPr>
        <w:spacing w:line="312" w:lineRule="auto"/>
        <w:jc w:val="both"/>
      </w:pPr>
    </w:p>
    <w:p>
      <w:pPr>
        <w:tabs>
          <w:tab w:val="left" w:pos="540"/>
        </w:tabs>
        <w:spacing w:line="312" w:lineRule="auto"/>
        <w:ind w:left="540" w:hanging="540"/>
        <w:jc w:val="both"/>
      </w:pPr>
    </w:p>
    <w:p>
      <w:pPr>
        <w:tabs>
          <w:tab w:val="left" w:pos="540"/>
        </w:tabs>
        <w:spacing w:line="312" w:lineRule="auto"/>
        <w:ind w:left="540" w:hanging="540"/>
        <w:jc w:val="both"/>
      </w:pPr>
    </w:p>
    <w:p>
      <w:pPr>
        <w:tabs>
          <w:tab w:val="left" w:pos="540"/>
        </w:tabs>
        <w:spacing w:line="312" w:lineRule="auto"/>
        <w:ind w:left="540" w:hanging="540"/>
        <w:jc w:val="both"/>
        <w:rPr>
          <w:b/>
        </w:rPr>
      </w:pPr>
      <w:r>
        <w:rPr>
          <w:b/>
        </w:rPr>
        <w:tab/>
      </w:r>
      <w:r>
        <w:rPr>
          <w:b/>
        </w:rPr>
        <w:tab/>
      </w:r>
    </w:p>
    <w:sectPr>
      <w:headerReference r:id="rId5" w:type="first"/>
      <w:footerReference r:id="rId8" w:type="first"/>
      <w:headerReference r:id="rId3" w:type="default"/>
      <w:footerReference r:id="rId6" w:type="default"/>
      <w:headerReference r:id="rId4" w:type="even"/>
      <w:footerReference r:id="rId7" w:type="even"/>
      <w:pgSz w:w="11909" w:h="16834"/>
      <w:pgMar w:top="709" w:right="929" w:bottom="720" w:left="1418" w:header="720" w:footer="54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VnTime">
    <w:altName w:val="苹方-简"/>
    <w:panose1 w:val="00000000000000000000"/>
    <w:charset w:val="00"/>
    <w:family w:val="swiss"/>
    <w:pitch w:val="default"/>
    <w:sig w:usb0="00000000" w:usb1="00000000" w:usb2="00000000" w:usb3="00000000" w:csb0="00000001" w:csb1="00000000"/>
  </w:font>
  <w:font w:name="苹方-简">
    <w:panose1 w:val="020B0400000000000000"/>
    <w:charset w:val="86"/>
    <w:family w:val="auto"/>
    <w:pitch w:val="default"/>
    <w:sig w:usb0="00000000" w:usb1="00000000" w:usb2="00000000" w:usb3="00000000" w:csb0="00160000" w:csb1="00000000"/>
  </w:font>
  <w:font w:name="Tahoma">
    <w:panose1 w:val="020B0604030504040204"/>
    <w:charset w:val="00"/>
    <w:family w:val="swiss"/>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007346673" o:spid="_x0000_s2051" o:spt="75" type="#_x0000_t75" style="position:absolute;left:0pt;height:335.95pt;width:477.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5_1622020994"/>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007346672" o:spid="_x0000_s2050" o:spt="75" type="#_x0000_t75" style="position:absolute;left:0pt;height:335.95pt;width:47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5_1622020994"/>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007346671" o:spid="_x0000_s2049" o:spt="75" type="#_x0000_t75" style="position:absolute;left:0pt;height:335.95pt;width:477.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5_1622020994"/>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762652"/>
    <w:multiLevelType w:val="multilevel"/>
    <w:tmpl w:val="14762652"/>
    <w:lvl w:ilvl="0" w:tentative="0">
      <w:start w:val="1"/>
      <w:numFmt w:val="decimal"/>
      <w:lvlText w:val="8.%1."/>
      <w:lvlJc w:val="left"/>
      <w:pPr>
        <w:tabs>
          <w:tab w:val="left" w:pos="1440"/>
        </w:tabs>
        <w:ind w:left="144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17DB726C"/>
    <w:multiLevelType w:val="multilevel"/>
    <w:tmpl w:val="17DB726C"/>
    <w:lvl w:ilvl="0" w:tentative="0">
      <w:start w:val="1"/>
      <w:numFmt w:val="decimal"/>
      <w:lvlText w:val="1.%1."/>
      <w:lvlJc w:val="left"/>
      <w:pPr>
        <w:tabs>
          <w:tab w:val="left" w:pos="1440"/>
        </w:tabs>
        <w:ind w:left="144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1E4E4A81"/>
    <w:multiLevelType w:val="multilevel"/>
    <w:tmpl w:val="1E4E4A81"/>
    <w:lvl w:ilvl="0" w:tentative="0">
      <w:start w:val="3"/>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290E3EEB"/>
    <w:multiLevelType w:val="multilevel"/>
    <w:tmpl w:val="290E3EEB"/>
    <w:lvl w:ilvl="0" w:tentative="0">
      <w:start w:val="1"/>
      <w:numFmt w:val="decimal"/>
      <w:lvlText w:val="%1."/>
      <w:lvlJc w:val="left"/>
      <w:pPr>
        <w:ind w:left="720" w:hanging="360"/>
      </w:pPr>
      <w:rPr>
        <w:rFonts w:hint="default"/>
      </w:rPr>
    </w:lvl>
    <w:lvl w:ilvl="1" w:tentative="0">
      <w:start w:val="3"/>
      <w:numFmt w:val="decimal"/>
      <w:isLgl/>
      <w:lvlText w:val="%1.%2."/>
      <w:lvlJc w:val="left"/>
      <w:pPr>
        <w:ind w:left="900" w:hanging="36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620" w:hanging="720"/>
      </w:pPr>
      <w:rPr>
        <w:rFonts w:hint="default"/>
      </w:rPr>
    </w:lvl>
    <w:lvl w:ilvl="4" w:tentative="0">
      <w:start w:val="1"/>
      <w:numFmt w:val="decimal"/>
      <w:isLgl/>
      <w:lvlText w:val="%1.%2.%3.%4.%5."/>
      <w:lvlJc w:val="left"/>
      <w:pPr>
        <w:ind w:left="2160" w:hanging="1080"/>
      </w:pPr>
      <w:rPr>
        <w:rFonts w:hint="default"/>
      </w:rPr>
    </w:lvl>
    <w:lvl w:ilvl="5" w:tentative="0">
      <w:start w:val="1"/>
      <w:numFmt w:val="decimal"/>
      <w:isLgl/>
      <w:lvlText w:val="%1.%2.%3.%4.%5.%6."/>
      <w:lvlJc w:val="left"/>
      <w:pPr>
        <w:ind w:left="2340" w:hanging="1080"/>
      </w:pPr>
      <w:rPr>
        <w:rFonts w:hint="default"/>
      </w:rPr>
    </w:lvl>
    <w:lvl w:ilvl="6" w:tentative="0">
      <w:start w:val="1"/>
      <w:numFmt w:val="decimal"/>
      <w:isLgl/>
      <w:lvlText w:val="%1.%2.%3.%4.%5.%6.%7."/>
      <w:lvlJc w:val="left"/>
      <w:pPr>
        <w:ind w:left="2880" w:hanging="1440"/>
      </w:pPr>
      <w:rPr>
        <w:rFonts w:hint="default"/>
      </w:rPr>
    </w:lvl>
    <w:lvl w:ilvl="7" w:tentative="0">
      <w:start w:val="1"/>
      <w:numFmt w:val="decimal"/>
      <w:isLgl/>
      <w:lvlText w:val="%1.%2.%3.%4.%5.%6.%7.%8."/>
      <w:lvlJc w:val="left"/>
      <w:pPr>
        <w:ind w:left="3060" w:hanging="1440"/>
      </w:pPr>
      <w:rPr>
        <w:rFonts w:hint="default"/>
      </w:rPr>
    </w:lvl>
    <w:lvl w:ilvl="8" w:tentative="0">
      <w:start w:val="1"/>
      <w:numFmt w:val="decimal"/>
      <w:isLgl/>
      <w:lvlText w:val="%1.%2.%3.%4.%5.%6.%7.%8.%9."/>
      <w:lvlJc w:val="left"/>
      <w:pPr>
        <w:ind w:left="3600" w:hanging="1800"/>
      </w:pPr>
      <w:rPr>
        <w:rFonts w:hint="default"/>
      </w:rPr>
    </w:lvl>
  </w:abstractNum>
  <w:abstractNum w:abstractNumId="4">
    <w:nsid w:val="2ABF0D95"/>
    <w:multiLevelType w:val="multilevel"/>
    <w:tmpl w:val="2ABF0D95"/>
    <w:lvl w:ilvl="0" w:tentative="0">
      <w:start w:val="4"/>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2E1F1FE9"/>
    <w:multiLevelType w:val="multilevel"/>
    <w:tmpl w:val="2E1F1FE9"/>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43BA785B"/>
    <w:multiLevelType w:val="multilevel"/>
    <w:tmpl w:val="43BA785B"/>
    <w:lvl w:ilvl="0" w:tentative="0">
      <w:start w:val="1"/>
      <w:numFmt w:val="decimal"/>
      <w:lvlText w:val="3.%1."/>
      <w:lvlJc w:val="left"/>
      <w:pPr>
        <w:tabs>
          <w:tab w:val="left" w:pos="1440"/>
        </w:tabs>
        <w:ind w:left="144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71F8099E"/>
    <w:multiLevelType w:val="multilevel"/>
    <w:tmpl w:val="71F8099E"/>
    <w:lvl w:ilvl="0" w:tentative="0">
      <w:start w:val="1"/>
      <w:numFmt w:val="decimal"/>
      <w:lvlText w:val="4.%1."/>
      <w:lvlJc w:val="left"/>
      <w:pPr>
        <w:tabs>
          <w:tab w:val="left" w:pos="1440"/>
        </w:tabs>
        <w:ind w:left="1440" w:hanging="360"/>
      </w:pPr>
      <w:rPr>
        <w:rFonts w:hint="default"/>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76B671BE"/>
    <w:multiLevelType w:val="multilevel"/>
    <w:tmpl w:val="76B671BE"/>
    <w:lvl w:ilvl="0" w:tentative="0">
      <w:start w:val="1"/>
      <w:numFmt w:val="decimal"/>
      <w:lvlText w:val="7.%1."/>
      <w:lvlJc w:val="left"/>
      <w:pPr>
        <w:tabs>
          <w:tab w:val="left" w:pos="1440"/>
        </w:tabs>
        <w:ind w:left="144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79E23219"/>
    <w:multiLevelType w:val="multilevel"/>
    <w:tmpl w:val="79E23219"/>
    <w:lvl w:ilvl="0" w:tentative="0">
      <w:start w:val="1"/>
      <w:numFmt w:val="decimal"/>
      <w:lvlText w:val="5.%1."/>
      <w:lvlJc w:val="left"/>
      <w:pPr>
        <w:tabs>
          <w:tab w:val="left" w:pos="1440"/>
        </w:tabs>
        <w:ind w:left="144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7AAF6AF6"/>
    <w:multiLevelType w:val="multilevel"/>
    <w:tmpl w:val="7AAF6AF6"/>
    <w:lvl w:ilvl="0" w:tentative="0">
      <w:start w:val="1"/>
      <w:numFmt w:val="decimal"/>
      <w:lvlText w:val="6.%1."/>
      <w:lvlJc w:val="left"/>
      <w:pPr>
        <w:tabs>
          <w:tab w:val="left" w:pos="1440"/>
        </w:tabs>
        <w:ind w:left="144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7"/>
  </w:num>
  <w:num w:numId="8">
    <w:abstractNumId w:val="9"/>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hdrShapeDefaults>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15"/>
    <w:rsid w:val="0000065D"/>
    <w:rsid w:val="00003D46"/>
    <w:rsid w:val="00004273"/>
    <w:rsid w:val="00012995"/>
    <w:rsid w:val="00017E2D"/>
    <w:rsid w:val="00020AAF"/>
    <w:rsid w:val="0003323C"/>
    <w:rsid w:val="0004283C"/>
    <w:rsid w:val="0004709B"/>
    <w:rsid w:val="00051E16"/>
    <w:rsid w:val="00061963"/>
    <w:rsid w:val="00071777"/>
    <w:rsid w:val="0007426D"/>
    <w:rsid w:val="00076FB0"/>
    <w:rsid w:val="000835A0"/>
    <w:rsid w:val="00083C21"/>
    <w:rsid w:val="000925B3"/>
    <w:rsid w:val="000A2984"/>
    <w:rsid w:val="000A3D80"/>
    <w:rsid w:val="000A633D"/>
    <w:rsid w:val="000B0893"/>
    <w:rsid w:val="000B50D8"/>
    <w:rsid w:val="000B6987"/>
    <w:rsid w:val="000B7C01"/>
    <w:rsid w:val="000C1F65"/>
    <w:rsid w:val="000C231D"/>
    <w:rsid w:val="000C5358"/>
    <w:rsid w:val="000D4865"/>
    <w:rsid w:val="000D48B4"/>
    <w:rsid w:val="000D5F73"/>
    <w:rsid w:val="000D7792"/>
    <w:rsid w:val="000E270C"/>
    <w:rsid w:val="000E3AB9"/>
    <w:rsid w:val="000E4FBB"/>
    <w:rsid w:val="000F4A72"/>
    <w:rsid w:val="000F53C3"/>
    <w:rsid w:val="000F6030"/>
    <w:rsid w:val="00115070"/>
    <w:rsid w:val="00120EBF"/>
    <w:rsid w:val="001217ED"/>
    <w:rsid w:val="00126D4C"/>
    <w:rsid w:val="001330A9"/>
    <w:rsid w:val="00142FD6"/>
    <w:rsid w:val="001800B8"/>
    <w:rsid w:val="00180AC6"/>
    <w:rsid w:val="00185010"/>
    <w:rsid w:val="0018740B"/>
    <w:rsid w:val="001937EF"/>
    <w:rsid w:val="00194670"/>
    <w:rsid w:val="00194E8A"/>
    <w:rsid w:val="001B02A5"/>
    <w:rsid w:val="001C45EC"/>
    <w:rsid w:val="001C6DD8"/>
    <w:rsid w:val="001D2A1E"/>
    <w:rsid w:val="001E21C4"/>
    <w:rsid w:val="001E23C5"/>
    <w:rsid w:val="001E73D6"/>
    <w:rsid w:val="001F66B7"/>
    <w:rsid w:val="001F6C0E"/>
    <w:rsid w:val="00200134"/>
    <w:rsid w:val="00200354"/>
    <w:rsid w:val="002112D2"/>
    <w:rsid w:val="00214F8A"/>
    <w:rsid w:val="00215C94"/>
    <w:rsid w:val="00216998"/>
    <w:rsid w:val="00234903"/>
    <w:rsid w:val="002369AB"/>
    <w:rsid w:val="002445E1"/>
    <w:rsid w:val="00245B88"/>
    <w:rsid w:val="0025419E"/>
    <w:rsid w:val="002609C2"/>
    <w:rsid w:val="00273189"/>
    <w:rsid w:val="0028626A"/>
    <w:rsid w:val="002B7A66"/>
    <w:rsid w:val="002C1D0F"/>
    <w:rsid w:val="002C3199"/>
    <w:rsid w:val="002C4C22"/>
    <w:rsid w:val="002C5A02"/>
    <w:rsid w:val="002C6295"/>
    <w:rsid w:val="002D0EFB"/>
    <w:rsid w:val="002D4D43"/>
    <w:rsid w:val="002D6EAC"/>
    <w:rsid w:val="002E41CC"/>
    <w:rsid w:val="002E4CD6"/>
    <w:rsid w:val="002F0B7C"/>
    <w:rsid w:val="003124FB"/>
    <w:rsid w:val="003163A3"/>
    <w:rsid w:val="0031666D"/>
    <w:rsid w:val="00316B39"/>
    <w:rsid w:val="00324BAD"/>
    <w:rsid w:val="00331100"/>
    <w:rsid w:val="00332538"/>
    <w:rsid w:val="00346267"/>
    <w:rsid w:val="003463BF"/>
    <w:rsid w:val="0034705A"/>
    <w:rsid w:val="00355C7A"/>
    <w:rsid w:val="00355EB3"/>
    <w:rsid w:val="00365E75"/>
    <w:rsid w:val="00367E04"/>
    <w:rsid w:val="00370F3C"/>
    <w:rsid w:val="00372756"/>
    <w:rsid w:val="0039059D"/>
    <w:rsid w:val="0039433E"/>
    <w:rsid w:val="003976E3"/>
    <w:rsid w:val="003A0B18"/>
    <w:rsid w:val="003B23A5"/>
    <w:rsid w:val="003B2D3A"/>
    <w:rsid w:val="003B3C8A"/>
    <w:rsid w:val="003B4A33"/>
    <w:rsid w:val="003B572A"/>
    <w:rsid w:val="003C2E7A"/>
    <w:rsid w:val="003C2F87"/>
    <w:rsid w:val="003C6967"/>
    <w:rsid w:val="003C6BA9"/>
    <w:rsid w:val="003C7988"/>
    <w:rsid w:val="003D3C0D"/>
    <w:rsid w:val="003D4CF1"/>
    <w:rsid w:val="003E211A"/>
    <w:rsid w:val="003E2F1E"/>
    <w:rsid w:val="003E7E8B"/>
    <w:rsid w:val="00400068"/>
    <w:rsid w:val="00412DBB"/>
    <w:rsid w:val="00413759"/>
    <w:rsid w:val="00413D51"/>
    <w:rsid w:val="00424018"/>
    <w:rsid w:val="00436A9E"/>
    <w:rsid w:val="004370D2"/>
    <w:rsid w:val="0044164E"/>
    <w:rsid w:val="00442E15"/>
    <w:rsid w:val="004447AD"/>
    <w:rsid w:val="00444F1F"/>
    <w:rsid w:val="00463EE7"/>
    <w:rsid w:val="00475D90"/>
    <w:rsid w:val="00475FE0"/>
    <w:rsid w:val="00476846"/>
    <w:rsid w:val="0048141C"/>
    <w:rsid w:val="00493A2C"/>
    <w:rsid w:val="004D712B"/>
    <w:rsid w:val="004E72A7"/>
    <w:rsid w:val="004F2D84"/>
    <w:rsid w:val="004F7D81"/>
    <w:rsid w:val="00503D81"/>
    <w:rsid w:val="005153CD"/>
    <w:rsid w:val="00516D1C"/>
    <w:rsid w:val="005178BF"/>
    <w:rsid w:val="0052063E"/>
    <w:rsid w:val="00527F13"/>
    <w:rsid w:val="005378FC"/>
    <w:rsid w:val="0055235D"/>
    <w:rsid w:val="0056504E"/>
    <w:rsid w:val="0057195B"/>
    <w:rsid w:val="00573516"/>
    <w:rsid w:val="0057369F"/>
    <w:rsid w:val="00576E11"/>
    <w:rsid w:val="0058575F"/>
    <w:rsid w:val="00586D3F"/>
    <w:rsid w:val="005B468E"/>
    <w:rsid w:val="005B581D"/>
    <w:rsid w:val="005C3CA9"/>
    <w:rsid w:val="005C4175"/>
    <w:rsid w:val="005D22F5"/>
    <w:rsid w:val="005D754E"/>
    <w:rsid w:val="005E0289"/>
    <w:rsid w:val="00605C0B"/>
    <w:rsid w:val="0061196E"/>
    <w:rsid w:val="00617D2B"/>
    <w:rsid w:val="006219D9"/>
    <w:rsid w:val="00633807"/>
    <w:rsid w:val="00634AF6"/>
    <w:rsid w:val="00641B61"/>
    <w:rsid w:val="00642676"/>
    <w:rsid w:val="00644240"/>
    <w:rsid w:val="00655A64"/>
    <w:rsid w:val="006567AE"/>
    <w:rsid w:val="00662926"/>
    <w:rsid w:val="0066404C"/>
    <w:rsid w:val="006679F4"/>
    <w:rsid w:val="00667D4E"/>
    <w:rsid w:val="006701AB"/>
    <w:rsid w:val="00671CB0"/>
    <w:rsid w:val="00671D91"/>
    <w:rsid w:val="00672664"/>
    <w:rsid w:val="00675807"/>
    <w:rsid w:val="006947C4"/>
    <w:rsid w:val="00695E0C"/>
    <w:rsid w:val="006B30E3"/>
    <w:rsid w:val="006C15FF"/>
    <w:rsid w:val="006D6A22"/>
    <w:rsid w:val="006E47FA"/>
    <w:rsid w:val="006F0703"/>
    <w:rsid w:val="007035CD"/>
    <w:rsid w:val="007122B8"/>
    <w:rsid w:val="00713421"/>
    <w:rsid w:val="00723F42"/>
    <w:rsid w:val="00727D3B"/>
    <w:rsid w:val="00734FD6"/>
    <w:rsid w:val="00745E47"/>
    <w:rsid w:val="00746B82"/>
    <w:rsid w:val="00750C54"/>
    <w:rsid w:val="00757199"/>
    <w:rsid w:val="00770F6B"/>
    <w:rsid w:val="00774F01"/>
    <w:rsid w:val="007843C2"/>
    <w:rsid w:val="00791344"/>
    <w:rsid w:val="007A3DFC"/>
    <w:rsid w:val="007A4F27"/>
    <w:rsid w:val="007A79F6"/>
    <w:rsid w:val="007C3F36"/>
    <w:rsid w:val="007D0F88"/>
    <w:rsid w:val="007E365C"/>
    <w:rsid w:val="007F0605"/>
    <w:rsid w:val="007F06F5"/>
    <w:rsid w:val="008201F2"/>
    <w:rsid w:val="008223A6"/>
    <w:rsid w:val="00850508"/>
    <w:rsid w:val="008561EB"/>
    <w:rsid w:val="00856389"/>
    <w:rsid w:val="00857AB0"/>
    <w:rsid w:val="008673A1"/>
    <w:rsid w:val="00870452"/>
    <w:rsid w:val="00875080"/>
    <w:rsid w:val="00884D82"/>
    <w:rsid w:val="00892D3C"/>
    <w:rsid w:val="00895298"/>
    <w:rsid w:val="00895F78"/>
    <w:rsid w:val="008A4491"/>
    <w:rsid w:val="008A51A5"/>
    <w:rsid w:val="008A5C16"/>
    <w:rsid w:val="008B5F3B"/>
    <w:rsid w:val="008B62B6"/>
    <w:rsid w:val="008B7CD2"/>
    <w:rsid w:val="008C3370"/>
    <w:rsid w:val="008C5C7E"/>
    <w:rsid w:val="008C6532"/>
    <w:rsid w:val="008C7451"/>
    <w:rsid w:val="008D08CF"/>
    <w:rsid w:val="008D30C8"/>
    <w:rsid w:val="008D7E4F"/>
    <w:rsid w:val="008E0C02"/>
    <w:rsid w:val="008E26A1"/>
    <w:rsid w:val="008E56DD"/>
    <w:rsid w:val="008F1429"/>
    <w:rsid w:val="008F29BA"/>
    <w:rsid w:val="008F2F05"/>
    <w:rsid w:val="008F5E52"/>
    <w:rsid w:val="00900B5A"/>
    <w:rsid w:val="009012EB"/>
    <w:rsid w:val="00902BCC"/>
    <w:rsid w:val="009047FF"/>
    <w:rsid w:val="00906FD6"/>
    <w:rsid w:val="009121AB"/>
    <w:rsid w:val="00921D9E"/>
    <w:rsid w:val="009354B3"/>
    <w:rsid w:val="00935A6C"/>
    <w:rsid w:val="00941FB7"/>
    <w:rsid w:val="00943534"/>
    <w:rsid w:val="0095166E"/>
    <w:rsid w:val="0096071D"/>
    <w:rsid w:val="00980D14"/>
    <w:rsid w:val="00981733"/>
    <w:rsid w:val="009878B9"/>
    <w:rsid w:val="009A3155"/>
    <w:rsid w:val="009B4FB8"/>
    <w:rsid w:val="009B506A"/>
    <w:rsid w:val="009C53FC"/>
    <w:rsid w:val="009C757E"/>
    <w:rsid w:val="009D104F"/>
    <w:rsid w:val="009D1909"/>
    <w:rsid w:val="009E3982"/>
    <w:rsid w:val="00A036EE"/>
    <w:rsid w:val="00A14DC0"/>
    <w:rsid w:val="00A15E81"/>
    <w:rsid w:val="00A22A25"/>
    <w:rsid w:val="00A2589D"/>
    <w:rsid w:val="00A25BF1"/>
    <w:rsid w:val="00A26F47"/>
    <w:rsid w:val="00A321F7"/>
    <w:rsid w:val="00A338EE"/>
    <w:rsid w:val="00A35B8F"/>
    <w:rsid w:val="00A36122"/>
    <w:rsid w:val="00A36BBF"/>
    <w:rsid w:val="00A40778"/>
    <w:rsid w:val="00A434E7"/>
    <w:rsid w:val="00A46492"/>
    <w:rsid w:val="00A6189E"/>
    <w:rsid w:val="00A659A8"/>
    <w:rsid w:val="00A754D9"/>
    <w:rsid w:val="00A76D2E"/>
    <w:rsid w:val="00A96961"/>
    <w:rsid w:val="00A9720F"/>
    <w:rsid w:val="00AA0582"/>
    <w:rsid w:val="00AA2CF8"/>
    <w:rsid w:val="00AA47C2"/>
    <w:rsid w:val="00AA606E"/>
    <w:rsid w:val="00AB013C"/>
    <w:rsid w:val="00AB1207"/>
    <w:rsid w:val="00AB21D4"/>
    <w:rsid w:val="00AC67C8"/>
    <w:rsid w:val="00AD0C1F"/>
    <w:rsid w:val="00AD2979"/>
    <w:rsid w:val="00AD3FCB"/>
    <w:rsid w:val="00AD5A2F"/>
    <w:rsid w:val="00AD7EB4"/>
    <w:rsid w:val="00AE0DA3"/>
    <w:rsid w:val="00AE2676"/>
    <w:rsid w:val="00AF4B87"/>
    <w:rsid w:val="00AF50AE"/>
    <w:rsid w:val="00B02141"/>
    <w:rsid w:val="00B109CD"/>
    <w:rsid w:val="00B1371C"/>
    <w:rsid w:val="00B2707D"/>
    <w:rsid w:val="00B30E0A"/>
    <w:rsid w:val="00B31F52"/>
    <w:rsid w:val="00B3244C"/>
    <w:rsid w:val="00B36429"/>
    <w:rsid w:val="00B368E8"/>
    <w:rsid w:val="00B40B98"/>
    <w:rsid w:val="00B41E38"/>
    <w:rsid w:val="00B435BB"/>
    <w:rsid w:val="00B46FF6"/>
    <w:rsid w:val="00B51F9E"/>
    <w:rsid w:val="00B52AA2"/>
    <w:rsid w:val="00B5447E"/>
    <w:rsid w:val="00B6083B"/>
    <w:rsid w:val="00B6245B"/>
    <w:rsid w:val="00B64887"/>
    <w:rsid w:val="00B7467D"/>
    <w:rsid w:val="00B75ECB"/>
    <w:rsid w:val="00B821FD"/>
    <w:rsid w:val="00B82CD2"/>
    <w:rsid w:val="00B9096F"/>
    <w:rsid w:val="00B90A66"/>
    <w:rsid w:val="00B930B5"/>
    <w:rsid w:val="00B94307"/>
    <w:rsid w:val="00BA3B1F"/>
    <w:rsid w:val="00BA4808"/>
    <w:rsid w:val="00BB465A"/>
    <w:rsid w:val="00BB78D7"/>
    <w:rsid w:val="00BB7BB7"/>
    <w:rsid w:val="00BC0D99"/>
    <w:rsid w:val="00BC7268"/>
    <w:rsid w:val="00BC7C8A"/>
    <w:rsid w:val="00BC7D31"/>
    <w:rsid w:val="00BE5BDD"/>
    <w:rsid w:val="00BE63B1"/>
    <w:rsid w:val="00BF3B61"/>
    <w:rsid w:val="00C04EBC"/>
    <w:rsid w:val="00C075CB"/>
    <w:rsid w:val="00C12338"/>
    <w:rsid w:val="00C13701"/>
    <w:rsid w:val="00C236AE"/>
    <w:rsid w:val="00C25708"/>
    <w:rsid w:val="00C323EF"/>
    <w:rsid w:val="00C32D9F"/>
    <w:rsid w:val="00C34D9C"/>
    <w:rsid w:val="00C35724"/>
    <w:rsid w:val="00C3671F"/>
    <w:rsid w:val="00C417BA"/>
    <w:rsid w:val="00C4248E"/>
    <w:rsid w:val="00C56C0A"/>
    <w:rsid w:val="00C62B47"/>
    <w:rsid w:val="00C75331"/>
    <w:rsid w:val="00C77036"/>
    <w:rsid w:val="00C85609"/>
    <w:rsid w:val="00C93058"/>
    <w:rsid w:val="00C9456D"/>
    <w:rsid w:val="00C962F7"/>
    <w:rsid w:val="00CA492B"/>
    <w:rsid w:val="00CA76FA"/>
    <w:rsid w:val="00CB238D"/>
    <w:rsid w:val="00CB3024"/>
    <w:rsid w:val="00CC1EEC"/>
    <w:rsid w:val="00CC6AC2"/>
    <w:rsid w:val="00CE241E"/>
    <w:rsid w:val="00CE3DA0"/>
    <w:rsid w:val="00CF0056"/>
    <w:rsid w:val="00CF00B8"/>
    <w:rsid w:val="00CF309E"/>
    <w:rsid w:val="00D01BCB"/>
    <w:rsid w:val="00D03C78"/>
    <w:rsid w:val="00D054D3"/>
    <w:rsid w:val="00D06D09"/>
    <w:rsid w:val="00D168E3"/>
    <w:rsid w:val="00D206FC"/>
    <w:rsid w:val="00D247C0"/>
    <w:rsid w:val="00D27915"/>
    <w:rsid w:val="00D332EF"/>
    <w:rsid w:val="00D35273"/>
    <w:rsid w:val="00D46D96"/>
    <w:rsid w:val="00D64D8F"/>
    <w:rsid w:val="00D6574D"/>
    <w:rsid w:val="00D708AC"/>
    <w:rsid w:val="00D7197E"/>
    <w:rsid w:val="00D72A8E"/>
    <w:rsid w:val="00D7786E"/>
    <w:rsid w:val="00D8757F"/>
    <w:rsid w:val="00D9409C"/>
    <w:rsid w:val="00D96DF4"/>
    <w:rsid w:val="00D97BDC"/>
    <w:rsid w:val="00DA7509"/>
    <w:rsid w:val="00DC2B00"/>
    <w:rsid w:val="00DC44F8"/>
    <w:rsid w:val="00DC75DF"/>
    <w:rsid w:val="00DD37A3"/>
    <w:rsid w:val="00DD70B6"/>
    <w:rsid w:val="00DE26C0"/>
    <w:rsid w:val="00DE3398"/>
    <w:rsid w:val="00DE6CAB"/>
    <w:rsid w:val="00DF0933"/>
    <w:rsid w:val="00DF669B"/>
    <w:rsid w:val="00DF7711"/>
    <w:rsid w:val="00E0118B"/>
    <w:rsid w:val="00E0623B"/>
    <w:rsid w:val="00E12AD9"/>
    <w:rsid w:val="00E13DA5"/>
    <w:rsid w:val="00E17E1B"/>
    <w:rsid w:val="00E22471"/>
    <w:rsid w:val="00E42ACC"/>
    <w:rsid w:val="00E5390A"/>
    <w:rsid w:val="00E612DC"/>
    <w:rsid w:val="00E62D9B"/>
    <w:rsid w:val="00E751DC"/>
    <w:rsid w:val="00E774FA"/>
    <w:rsid w:val="00E85EE3"/>
    <w:rsid w:val="00E8768B"/>
    <w:rsid w:val="00E91AB3"/>
    <w:rsid w:val="00EA3833"/>
    <w:rsid w:val="00EA5ACD"/>
    <w:rsid w:val="00EC1A47"/>
    <w:rsid w:val="00EC32DD"/>
    <w:rsid w:val="00ED309E"/>
    <w:rsid w:val="00EE3604"/>
    <w:rsid w:val="00EF1F67"/>
    <w:rsid w:val="00EF1F68"/>
    <w:rsid w:val="00F0374A"/>
    <w:rsid w:val="00F06981"/>
    <w:rsid w:val="00F10396"/>
    <w:rsid w:val="00F1276D"/>
    <w:rsid w:val="00F158AB"/>
    <w:rsid w:val="00F2703C"/>
    <w:rsid w:val="00F323A4"/>
    <w:rsid w:val="00F34B5C"/>
    <w:rsid w:val="00F518D6"/>
    <w:rsid w:val="00F54465"/>
    <w:rsid w:val="00F64CAB"/>
    <w:rsid w:val="00F6563B"/>
    <w:rsid w:val="00F83610"/>
    <w:rsid w:val="00F868F4"/>
    <w:rsid w:val="00F90611"/>
    <w:rsid w:val="00F91CA2"/>
    <w:rsid w:val="00F93902"/>
    <w:rsid w:val="00F94580"/>
    <w:rsid w:val="00F94DD9"/>
    <w:rsid w:val="00FA18F3"/>
    <w:rsid w:val="00FA411B"/>
    <w:rsid w:val="00FB0D08"/>
    <w:rsid w:val="00FB6593"/>
    <w:rsid w:val="00FC2BFB"/>
    <w:rsid w:val="00FD08C5"/>
    <w:rsid w:val="00FD4592"/>
    <w:rsid w:val="00FF1FD5"/>
    <w:rsid w:val="00FF4390"/>
    <w:rsid w:val="7BB7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uiPriority w:val="0"/>
    <w:rPr>
      <w:rFonts w:ascii="Tahoma" w:hAnsi="Tahoma"/>
      <w:sz w:val="16"/>
      <w:szCs w:val="16"/>
      <w:lang w:val="zh-CN" w:eastAsia="zh-CN"/>
    </w:rPr>
  </w:style>
  <w:style w:type="paragraph" w:styleId="5">
    <w:name w:val="footer"/>
    <w:basedOn w:val="1"/>
    <w:uiPriority w:val="0"/>
    <w:pPr>
      <w:tabs>
        <w:tab w:val="center" w:pos="4320"/>
        <w:tab w:val="right" w:pos="8640"/>
      </w:tabs>
    </w:pPr>
  </w:style>
  <w:style w:type="paragraph" w:styleId="6">
    <w:name w:val="header"/>
    <w:basedOn w:val="1"/>
    <w:uiPriority w:val="0"/>
    <w:pPr>
      <w:tabs>
        <w:tab w:val="center" w:pos="4320"/>
        <w:tab w:val="right" w:pos="8640"/>
      </w:tabs>
    </w:pPr>
  </w:style>
  <w:style w:type="character" w:styleId="7">
    <w:name w:val="page number"/>
    <w:basedOn w:val="2"/>
    <w:uiPriority w:val="0"/>
  </w:style>
  <w:style w:type="table" w:styleId="8">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normal-h1"/>
    <w:uiPriority w:val="0"/>
    <w:rPr>
      <w:rFonts w:hint="default" w:ascii=".VnTime" w:hAnsi=".VnTime"/>
      <w:color w:val="0000FF"/>
      <w:sz w:val="24"/>
      <w:szCs w:val="24"/>
    </w:rPr>
  </w:style>
  <w:style w:type="character" w:customStyle="1" w:styleId="10">
    <w:name w:val="Balloon Text Char"/>
    <w:link w:val="4"/>
    <w:uiPriority w:val="0"/>
    <w:rPr>
      <w:rFonts w:ascii="Tahoma" w:hAnsi="Tahoma" w:cs="Tahoma"/>
      <w:sz w:val="16"/>
      <w:szCs w:val="16"/>
    </w:rPr>
  </w:style>
  <w:style w:type="paragraph" w:styleId="11">
    <w:name w:val="List Paragraph"/>
    <w:basedOn w:val="1"/>
    <w:qFormat/>
    <w:uiPriority w:val="34"/>
    <w:pPr>
      <w:ind w:left="720"/>
    </w:pPr>
  </w:style>
  <w:style w:type="character" w:customStyle="1" w:styleId="12">
    <w:name w:val="apple-converted-space"/>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4</Pages>
  <Words>1162</Words>
  <Characters>6624</Characters>
  <Lines>55</Lines>
  <Paragraphs>15</Paragraphs>
  <TotalTime>2</TotalTime>
  <ScaleCrop>false</ScaleCrop>
  <LinksUpToDate>false</LinksUpToDate>
  <CharactersWithSpaces>7771</CharactersWithSpaces>
  <Application>WPS Office_5.0.0.7908_F1E327BC-269C-435d-A152-05C5408002CA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2023-03-21T09:56:00Z</dcterms:created>
  <dc:creator>viettu</dc:creator>
  <cp:lastModifiedBy>Bình Nguyễn</cp:lastModifiedBy>
  <cp:lastPrinted>2023-03-21T08:33:00Z</cp:lastPrinted>
  <dcterms:modified xsi:type="dcterms:W3CDTF">2023-04-22T12:00:30Z</dcterms:modified>
  <dc:title>CỘNG HÒA XÃ HỘI CHỦ NGHĨA VIỆT NAM</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